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4" w:type="dxa"/>
        <w:tblInd w:w="-291" w:type="dxa"/>
        <w:tblLayout w:type="fixed"/>
        <w:tblLook w:val="0400" w:firstRow="0" w:lastRow="0" w:firstColumn="0" w:lastColumn="0" w:noHBand="0" w:noVBand="1"/>
      </w:tblPr>
      <w:tblGrid>
        <w:gridCol w:w="3545"/>
        <w:gridCol w:w="6239"/>
      </w:tblGrid>
      <w:tr w:rsidR="00270B9A" w:rsidRPr="007D05B1" w14:paraId="51493E9B" w14:textId="77777777" w:rsidTr="00064D7E">
        <w:trPr>
          <w:trHeight w:val="759"/>
        </w:trPr>
        <w:tc>
          <w:tcPr>
            <w:tcW w:w="3545" w:type="dxa"/>
          </w:tcPr>
          <w:p w14:paraId="6D7B55DD" w14:textId="77777777" w:rsidR="00A11355" w:rsidRPr="007D05B1" w:rsidRDefault="00BE3B77" w:rsidP="00064D7E">
            <w:pPr>
              <w:spacing w:after="0" w:line="276" w:lineRule="auto"/>
              <w:ind w:left="-108"/>
              <w:jc w:val="center"/>
              <w:rPr>
                <w:rFonts w:ascii="Times New Roman" w:eastAsia="Times New Roman" w:hAnsi="Times New Roman"/>
                <w:sz w:val="26"/>
                <w:szCs w:val="26"/>
              </w:rPr>
            </w:pPr>
            <w:r w:rsidRPr="007D05B1">
              <w:rPr>
                <w:rFonts w:ascii="Times New Roman" w:hAnsi="Times New Roman"/>
                <w:noProof/>
                <w:sz w:val="26"/>
                <w:szCs w:val="26"/>
              </w:rPr>
              <mc:AlternateContent>
                <mc:Choice Requires="wps">
                  <w:drawing>
                    <wp:anchor distT="4294967295" distB="4294967295" distL="114300" distR="114300" simplePos="0" relativeHeight="251658240" behindDoc="0" locked="0" layoutInCell="1" allowOverlap="1" wp14:anchorId="7D3BC17E" wp14:editId="639017BE">
                      <wp:simplePos x="0" y="0"/>
                      <wp:positionH relativeFrom="column">
                        <wp:posOffset>523875</wp:posOffset>
                      </wp:positionH>
                      <wp:positionV relativeFrom="paragraph">
                        <wp:posOffset>410209</wp:posOffset>
                      </wp:positionV>
                      <wp:extent cx="971550" cy="0"/>
                      <wp:effectExtent l="0" t="0" r="0" b="0"/>
                      <wp:wrapNone/>
                      <wp:docPr id="77072487"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15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3595C35E" id="Straight Connector 1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25pt,32.3pt" to="117.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" strokecolor="windowText" strokeweight=".5pt">
                      <v:stroke joinstyle="miter"/>
                      <o:lock v:ext="edit" shapetype="f"/>
                    </v:line>
                  </w:pict>
                </mc:Fallback>
              </mc:AlternateContent>
            </w:r>
            <w:r w:rsidR="00A11355" w:rsidRPr="007D05B1">
              <w:rPr>
                <w:rFonts w:ascii="Times New Roman" w:eastAsia="Times New Roman" w:hAnsi="Times New Roman"/>
                <w:b/>
                <w:sz w:val="26"/>
                <w:szCs w:val="26"/>
              </w:rPr>
              <w:t>HỘI ĐỒNG NHÂN DÂN THÀNH PHỐ HỒ CHÍ MINH</w:t>
            </w:r>
            <w:r w:rsidRPr="007D05B1">
              <w:rPr>
                <w:rFonts w:ascii="Times New Roman" w:hAnsi="Times New Roman"/>
                <w:noProof/>
                <w:sz w:val="26"/>
                <w:szCs w:val="26"/>
              </w:rPr>
              <mc:AlternateContent>
                <mc:Choice Requires="wps">
                  <w:drawing>
                    <wp:anchor distT="0" distB="0" distL="114299" distR="114299" simplePos="0" relativeHeight="251656192" behindDoc="0" locked="0" layoutInCell="1" allowOverlap="1" wp14:anchorId="787AFF46" wp14:editId="65581F84">
                      <wp:simplePos x="0" y="0"/>
                      <wp:positionH relativeFrom="column">
                        <wp:posOffset>266699</wp:posOffset>
                      </wp:positionH>
                      <wp:positionV relativeFrom="paragraph">
                        <wp:posOffset>419100</wp:posOffset>
                      </wp:positionV>
                      <wp:extent cx="0" cy="12700"/>
                      <wp:effectExtent l="0" t="0" r="19050" b="6350"/>
                      <wp:wrapNone/>
                      <wp:docPr id="181702346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1D2EDEB5" id="_x0000_t32" coordsize="21600,21600" o:spt="32" o:oned="t" path="m,l21600,21600e" filled="f">
                      <v:path arrowok="t" fillok="f" o:connecttype="none"/>
                      <o:lock v:ext="edit" shapetype="t"/>
                    </v:shapetype>
                    <v:shape id="Straight Arrow Connector 10" o:spid="_x0000_s1026" type="#_x0000_t32" style="position:absolute;margin-left:21pt;margin-top:33pt;width:0;height:1pt;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" strokecolor="windowText">
                      <v:stroke startarrowwidth="narrow" startarrowlength="short" endarrowwidth="narrow" endarrowlength="short" joinstyle="miter"/>
                      <o:lock v:ext="edit" shapetype="f"/>
                    </v:shape>
                  </w:pict>
                </mc:Fallback>
              </mc:AlternateContent>
            </w:r>
          </w:p>
        </w:tc>
        <w:tc>
          <w:tcPr>
            <w:tcW w:w="6239" w:type="dxa"/>
          </w:tcPr>
          <w:p w14:paraId="2F99FCF1" w14:textId="77777777" w:rsidR="00A11355" w:rsidRPr="007D05B1" w:rsidRDefault="00A11355" w:rsidP="00064D7E">
            <w:pPr>
              <w:spacing w:after="0" w:line="276" w:lineRule="auto"/>
              <w:jc w:val="center"/>
              <w:rPr>
                <w:rFonts w:ascii="Times New Roman" w:eastAsia="Times New Roman" w:hAnsi="Times New Roman"/>
                <w:b/>
                <w:sz w:val="26"/>
                <w:szCs w:val="26"/>
              </w:rPr>
            </w:pPr>
            <w:r w:rsidRPr="007D05B1">
              <w:rPr>
                <w:rFonts w:ascii="Times New Roman" w:eastAsia="Times New Roman" w:hAnsi="Times New Roman"/>
                <w:b/>
                <w:sz w:val="26"/>
                <w:szCs w:val="26"/>
              </w:rPr>
              <w:t>CỘNG HOÀ XÃ HỘI CHỦ NGHĨA VIỆT NAM</w:t>
            </w:r>
          </w:p>
          <w:p w14:paraId="4189748E" w14:textId="77777777" w:rsidR="00A11355" w:rsidRPr="007D05B1" w:rsidRDefault="00BE3B77" w:rsidP="00064D7E">
            <w:pPr>
              <w:spacing w:after="0" w:line="276" w:lineRule="auto"/>
              <w:jc w:val="center"/>
              <w:rPr>
                <w:rFonts w:ascii="Times New Roman" w:eastAsia="Times New Roman" w:hAnsi="Times New Roman"/>
                <w:i/>
                <w:sz w:val="26"/>
                <w:szCs w:val="26"/>
              </w:rPr>
            </w:pPr>
            <w:r w:rsidRPr="007D05B1">
              <w:rPr>
                <w:rFonts w:ascii="Times New Roman" w:hAnsi="Times New Roman"/>
                <w:noProof/>
                <w:sz w:val="26"/>
                <w:szCs w:val="26"/>
              </w:rPr>
              <mc:AlternateContent>
                <mc:Choice Requires="wps">
                  <w:drawing>
                    <wp:anchor distT="4294967295" distB="4294967295" distL="114300" distR="114300" simplePos="0" relativeHeight="251659264" behindDoc="0" locked="0" layoutInCell="1" allowOverlap="1" wp14:anchorId="21A00E0D" wp14:editId="73BFE6F9">
                      <wp:simplePos x="0" y="0"/>
                      <wp:positionH relativeFrom="column">
                        <wp:posOffset>825500</wp:posOffset>
                      </wp:positionH>
                      <wp:positionV relativeFrom="paragraph">
                        <wp:posOffset>220344</wp:posOffset>
                      </wp:positionV>
                      <wp:extent cx="2190750" cy="0"/>
                      <wp:effectExtent l="0" t="0" r="0" b="0"/>
                      <wp:wrapNone/>
                      <wp:docPr id="2"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0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65545DDD" id="Straight Connector 8"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5pt,17.35pt" to="23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" strokecolor="windowText" strokeweight=".5pt">
                      <v:stroke joinstyle="miter"/>
                      <o:lock v:ext="edit" shapetype="f"/>
                    </v:line>
                  </w:pict>
                </mc:Fallback>
              </mc:AlternateContent>
            </w:r>
            <w:r w:rsidR="00A11355" w:rsidRPr="007D05B1">
              <w:rPr>
                <w:rFonts w:ascii="Times New Roman" w:eastAsia="Times New Roman" w:hAnsi="Times New Roman"/>
                <w:b/>
                <w:sz w:val="26"/>
                <w:szCs w:val="26"/>
              </w:rPr>
              <w:t>Độc lập – Tự do – Hạnh phúc</w:t>
            </w:r>
            <w:r w:rsidRPr="007D05B1">
              <w:rPr>
                <w:rFonts w:ascii="Times New Roman" w:hAnsi="Times New Roman"/>
                <w:noProof/>
                <w:sz w:val="26"/>
                <w:szCs w:val="26"/>
              </w:rPr>
              <mc:AlternateContent>
                <mc:Choice Requires="wps">
                  <w:drawing>
                    <wp:anchor distT="0" distB="0" distL="114299" distR="114299" simplePos="0" relativeHeight="251657216" behindDoc="0" locked="0" layoutInCell="1" allowOverlap="1" wp14:anchorId="1447D8AD" wp14:editId="3BBE0BFB">
                      <wp:simplePos x="0" y="0"/>
                      <wp:positionH relativeFrom="column">
                        <wp:posOffset>825499</wp:posOffset>
                      </wp:positionH>
                      <wp:positionV relativeFrom="paragraph">
                        <wp:posOffset>190500</wp:posOffset>
                      </wp:positionV>
                      <wp:extent cx="0" cy="12700"/>
                      <wp:effectExtent l="0" t="0" r="19050" b="6350"/>
                      <wp:wrapNone/>
                      <wp:docPr id="1817023458"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270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 w14:anchorId="361A6EF6" id="Straight Arrow Connector 6" o:spid="_x0000_s1026" type="#_x0000_t32" style="position:absolute;margin-left:65pt;margin-top:15pt;width:0;height:1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" strokecolor="windowText">
                      <v:stroke startarrowwidth="narrow" startarrowlength="short" endarrowwidth="narrow" endarrowlength="short" joinstyle="miter"/>
                      <o:lock v:ext="edit" shapetype="f"/>
                    </v:shape>
                  </w:pict>
                </mc:Fallback>
              </mc:AlternateContent>
            </w:r>
          </w:p>
        </w:tc>
      </w:tr>
      <w:tr w:rsidR="00270B9A" w:rsidRPr="007D05B1" w14:paraId="538F3C47" w14:textId="77777777" w:rsidTr="00064D7E">
        <w:tc>
          <w:tcPr>
            <w:tcW w:w="3545" w:type="dxa"/>
          </w:tcPr>
          <w:p w14:paraId="01F3A40B" w14:textId="77777777" w:rsidR="00A11355" w:rsidRPr="007D05B1" w:rsidRDefault="00A11355" w:rsidP="00064D7E">
            <w:pPr>
              <w:spacing w:after="0" w:line="276" w:lineRule="auto"/>
              <w:ind w:left="-108"/>
              <w:jc w:val="center"/>
              <w:rPr>
                <w:rFonts w:ascii="Times New Roman" w:eastAsia="Times New Roman" w:hAnsi="Times New Roman"/>
                <w:b/>
                <w:sz w:val="24"/>
                <w:szCs w:val="24"/>
              </w:rPr>
            </w:pPr>
            <w:r w:rsidRPr="007D05B1">
              <w:rPr>
                <w:rFonts w:ascii="Times New Roman" w:eastAsia="Times New Roman" w:hAnsi="Times New Roman"/>
                <w:sz w:val="24"/>
                <w:szCs w:val="24"/>
              </w:rPr>
              <w:t>Số:            /2026/NQ-HĐND</w:t>
            </w:r>
          </w:p>
        </w:tc>
        <w:tc>
          <w:tcPr>
            <w:tcW w:w="6239" w:type="dxa"/>
          </w:tcPr>
          <w:p w14:paraId="7AE8E467" w14:textId="77777777" w:rsidR="00A11355" w:rsidRPr="007D05B1" w:rsidRDefault="00A11355" w:rsidP="00064D7E">
            <w:pPr>
              <w:spacing w:after="0" w:line="276" w:lineRule="auto"/>
              <w:jc w:val="center"/>
              <w:rPr>
                <w:rFonts w:ascii="Times New Roman" w:eastAsia="Times New Roman" w:hAnsi="Times New Roman"/>
                <w:b/>
                <w:sz w:val="24"/>
                <w:szCs w:val="24"/>
              </w:rPr>
            </w:pPr>
            <w:r w:rsidRPr="007D05B1">
              <w:rPr>
                <w:rFonts w:ascii="Times New Roman" w:eastAsia="Times New Roman" w:hAnsi="Times New Roman"/>
                <w:i/>
                <w:sz w:val="24"/>
                <w:szCs w:val="24"/>
              </w:rPr>
              <w:t>Thành phố Hồ Chí Minh, ngày     tháng     năm 2026</w:t>
            </w:r>
          </w:p>
        </w:tc>
      </w:tr>
    </w:tbl>
    <w:p w14:paraId="3908601C" w14:textId="77777777" w:rsidR="00A11355" w:rsidRPr="007D05B1" w:rsidRDefault="00BE3B77">
      <w:pPr>
        <w:rPr>
          <w:rFonts w:ascii="Times New Roman" w:hAnsi="Times New Roman"/>
          <w:sz w:val="26"/>
          <w:szCs w:val="26"/>
        </w:rPr>
      </w:pPr>
      <w:r w:rsidRPr="007D05B1">
        <w:rPr>
          <w:rFonts w:ascii="Times New Roman" w:eastAsia="Times New Roman" w:hAnsi="Times New Roman"/>
          <w:noProof/>
          <w:sz w:val="26"/>
          <w:szCs w:val="26"/>
        </w:rPr>
        <mc:AlternateContent>
          <mc:Choice Requires="wps">
            <w:drawing>
              <wp:anchor distT="0" distB="0" distL="114300" distR="114300" simplePos="0" relativeHeight="251655168" behindDoc="0" locked="0" layoutInCell="1" allowOverlap="1" wp14:anchorId="2350110F" wp14:editId="4DBBEF80">
                <wp:simplePos x="0" y="0"/>
                <wp:positionH relativeFrom="column">
                  <wp:posOffset>-142875</wp:posOffset>
                </wp:positionH>
                <wp:positionV relativeFrom="paragraph">
                  <wp:posOffset>142875</wp:posOffset>
                </wp:positionV>
                <wp:extent cx="2157730" cy="305435"/>
                <wp:effectExtent l="0" t="0" r="0" b="0"/>
                <wp:wrapNone/>
                <wp:docPr id="181702346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7730" cy="3054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1BBD588" w14:textId="7628FB7E" w:rsidR="00DC04E0" w:rsidRPr="00B0501B" w:rsidRDefault="00DC04E0" w:rsidP="00A11355">
                            <w:pPr>
                              <w:spacing w:after="0" w:line="258" w:lineRule="auto"/>
                              <w:jc w:val="center"/>
                              <w:textDirection w:val="btLr"/>
                            </w:pPr>
                            <w:r w:rsidRPr="00B0501B">
                              <w:rPr>
                                <w:rFonts w:ascii="Times New Roman" w:eastAsia="Times New Roman" w:hAnsi="Times New Roman"/>
                                <w:b/>
                                <w:sz w:val="28"/>
                              </w:rPr>
                              <w:t>DỰ THẢO</w:t>
                            </w:r>
                            <w:r>
                              <w:rPr>
                                <w:rFonts w:ascii="Times New Roman" w:eastAsia="Times New Roman" w:hAnsi="Times New Roman"/>
                                <w:b/>
                                <w:sz w:val="28"/>
                              </w:rPr>
                              <w:t xml:space="preserve"> </w:t>
                            </w:r>
                            <w:r w:rsidR="00F8593E">
                              <w:rPr>
                                <w:rFonts w:ascii="Times New Roman" w:eastAsia="Times New Roman" w:hAnsi="Times New Roman"/>
                                <w:b/>
                                <w:sz w:val="28"/>
                              </w:rPr>
                              <w:t>2</w:t>
                            </w:r>
                            <w:r w:rsidR="00172A1F">
                              <w:rPr>
                                <w:rFonts w:ascii="Times New Roman" w:eastAsia="Times New Roman" w:hAnsi="Times New Roman"/>
                                <w:b/>
                                <w:sz w:val="28"/>
                                <w:lang w:val="vi-VN"/>
                              </w:rPr>
                              <w:t>4</w:t>
                            </w:r>
                            <w:r>
                              <w:rPr>
                                <w:rFonts w:ascii="Times New Roman" w:eastAsia="Times New Roman" w:hAnsi="Times New Roman"/>
                                <w:b/>
                                <w:sz w:val="28"/>
                              </w:rPr>
                              <w:t>-8-2026</w:t>
                            </w:r>
                            <w:r w:rsidRPr="00B0501B">
                              <w:rPr>
                                <w:rFonts w:ascii="Times New Roman" w:eastAsia="Times New Roman" w:hAnsi="Times New Roman"/>
                                <w:b/>
                                <w:sz w:val="28"/>
                              </w:rPr>
                              <w:t xml:space="preserve"> </w:t>
                            </w:r>
                          </w:p>
                        </w:txbxContent>
                      </wps:txbx>
                      <wps:bodyPr spcFirstLastPara="1" wrap="square" lIns="91425" tIns="45700" rIns="91425" bIns="45700" anchor="t" anchorCtr="0">
                        <a:noAutofit/>
                      </wps:bodyPr>
                    </wps:wsp>
                  </a:graphicData>
                </a:graphic>
                <wp14:sizeRelH relativeFrom="margin">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rect w14:anchorId="2350110F" id="Rectangle 4" o:spid="_x0000_s1026" style="position:absolute;margin-left:-11.25pt;margin-top:11.25pt;width:169.9pt;height:24.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">
                <v:stroke startarrowwidth="narrow" startarrowlength="short" endarrowwidth="narrow" endarrowlength="short"/>
                <v:path arrowok="t"/>
                <v:textbox inset="2.53958mm,1.2694mm,2.53958mm,1.2694mm">
                  <w:txbxContent>
                    <w:p w14:paraId="61BBD588" w14:textId="7628FB7E" w:rsidR="00DC04E0" w:rsidRPr="00B0501B" w:rsidRDefault="00DC04E0" w:rsidP="00A11355">
                      <w:pPr>
                        <w:spacing w:after="0" w:line="258" w:lineRule="auto"/>
                        <w:jc w:val="center"/>
                        <w:textDirection w:val="btLr"/>
                      </w:pPr>
                      <w:r w:rsidRPr="00B0501B">
                        <w:rPr>
                          <w:rFonts w:ascii="Times New Roman" w:eastAsia="Times New Roman" w:hAnsi="Times New Roman"/>
                          <w:b/>
                          <w:sz w:val="28"/>
                        </w:rPr>
                        <w:t>DỰ THẢO</w:t>
                      </w:r>
                      <w:r>
                        <w:rPr>
                          <w:rFonts w:ascii="Times New Roman" w:eastAsia="Times New Roman" w:hAnsi="Times New Roman"/>
                          <w:b/>
                          <w:sz w:val="28"/>
                        </w:rPr>
                        <w:t xml:space="preserve"> </w:t>
                      </w:r>
                      <w:r w:rsidR="00F8593E">
                        <w:rPr>
                          <w:rFonts w:ascii="Times New Roman" w:eastAsia="Times New Roman" w:hAnsi="Times New Roman"/>
                          <w:b/>
                          <w:sz w:val="28"/>
                        </w:rPr>
                        <w:t>2</w:t>
                      </w:r>
                      <w:r w:rsidR="00172A1F">
                        <w:rPr>
                          <w:rFonts w:ascii="Times New Roman" w:eastAsia="Times New Roman" w:hAnsi="Times New Roman"/>
                          <w:b/>
                          <w:sz w:val="28"/>
                          <w:lang w:val="vi-VN"/>
                        </w:rPr>
                        <w:t>4</w:t>
                      </w:r>
                      <w:r>
                        <w:rPr>
                          <w:rFonts w:ascii="Times New Roman" w:eastAsia="Times New Roman" w:hAnsi="Times New Roman"/>
                          <w:b/>
                          <w:sz w:val="28"/>
                        </w:rPr>
                        <w:t>-8-2026</w:t>
                      </w:r>
                      <w:r w:rsidRPr="00B0501B">
                        <w:rPr>
                          <w:rFonts w:ascii="Times New Roman" w:eastAsia="Times New Roman" w:hAnsi="Times New Roman"/>
                          <w:b/>
                          <w:sz w:val="28"/>
                        </w:rPr>
                        <w:t xml:space="preserve"> </w:t>
                      </w:r>
                    </w:p>
                  </w:txbxContent>
                </v:textbox>
              </v:rect>
            </w:pict>
          </mc:Fallback>
        </mc:AlternateContent>
      </w:r>
    </w:p>
    <w:p w14:paraId="115BF6BB" w14:textId="77777777" w:rsidR="00A11355" w:rsidRPr="007D05B1" w:rsidRDefault="00A11355">
      <w:pPr>
        <w:rPr>
          <w:rFonts w:ascii="Times New Roman" w:hAnsi="Times New Roman"/>
          <w:sz w:val="26"/>
          <w:szCs w:val="26"/>
        </w:rPr>
      </w:pPr>
    </w:p>
    <w:p w14:paraId="12D13899" w14:textId="77777777" w:rsidR="001C3ADB" w:rsidRPr="007D05B1" w:rsidRDefault="001C3ADB" w:rsidP="00F61D6D">
      <w:pPr>
        <w:shd w:val="clear" w:color="auto" w:fill="FFFFFF"/>
        <w:spacing w:before="60" w:after="60" w:line="276" w:lineRule="auto"/>
        <w:jc w:val="center"/>
        <w:rPr>
          <w:rFonts w:ascii="Times New Roman" w:eastAsia="Times New Roman" w:hAnsi="Times New Roman"/>
          <w:sz w:val="26"/>
          <w:szCs w:val="26"/>
        </w:rPr>
      </w:pPr>
      <w:r w:rsidRPr="007D05B1">
        <w:rPr>
          <w:rFonts w:ascii="Times New Roman" w:eastAsia="Times New Roman" w:hAnsi="Times New Roman"/>
          <w:b/>
          <w:bCs/>
          <w:sz w:val="26"/>
          <w:szCs w:val="26"/>
          <w:lang w:val="en"/>
        </w:rPr>
        <w:t>NGH</w:t>
      </w:r>
      <w:r w:rsidRPr="007D05B1">
        <w:rPr>
          <w:rFonts w:ascii="Times New Roman" w:eastAsia="Times New Roman" w:hAnsi="Times New Roman"/>
          <w:b/>
          <w:bCs/>
          <w:sz w:val="26"/>
          <w:szCs w:val="26"/>
          <w:lang w:val="vi-VN"/>
        </w:rPr>
        <w:t>Ị QUYẾT</w:t>
      </w:r>
    </w:p>
    <w:p w14:paraId="7F74FCA7" w14:textId="355CD635" w:rsidR="007913A4" w:rsidRPr="007D05B1" w:rsidRDefault="002D7D93" w:rsidP="00682AB6">
      <w:pPr>
        <w:shd w:val="clear" w:color="auto" w:fill="FFFFFF"/>
        <w:spacing w:before="60" w:after="60" w:line="276" w:lineRule="auto"/>
        <w:contextualSpacing/>
        <w:jc w:val="center"/>
        <w:rPr>
          <w:rFonts w:ascii="Times New Roman" w:eastAsia="Times New Roman" w:hAnsi="Times New Roman"/>
          <w:b/>
          <w:sz w:val="26"/>
          <w:szCs w:val="26"/>
        </w:rPr>
      </w:pPr>
      <w:r w:rsidRPr="007D05B1">
        <w:rPr>
          <w:rFonts w:ascii="Times New Roman" w:eastAsia="Times New Roman" w:hAnsi="Times New Roman"/>
          <w:b/>
          <w:sz w:val="26"/>
          <w:szCs w:val="26"/>
        </w:rPr>
        <w:t>Quy định việc chuyển nhượng chỉ tiêu sử d</w:t>
      </w:r>
      <w:bookmarkStart w:id="0" w:name="_GoBack"/>
      <w:bookmarkEnd w:id="0"/>
      <w:r w:rsidRPr="007D05B1">
        <w:rPr>
          <w:rFonts w:ascii="Times New Roman" w:eastAsia="Times New Roman" w:hAnsi="Times New Roman"/>
          <w:b/>
          <w:sz w:val="26"/>
          <w:szCs w:val="26"/>
        </w:rPr>
        <w:t xml:space="preserve">ụng đất quy hoạch trong khu vực </w:t>
      </w:r>
      <w:r w:rsidR="008C6B45">
        <w:rPr>
          <w:rFonts w:ascii="Times New Roman" w:eastAsia="Times New Roman" w:hAnsi="Times New Roman"/>
          <w:b/>
          <w:sz w:val="26"/>
          <w:szCs w:val="26"/>
        </w:rPr>
        <w:t>TOD</w:t>
      </w:r>
      <w:r w:rsidRPr="007D05B1">
        <w:rPr>
          <w:rFonts w:ascii="Times New Roman" w:eastAsia="Times New Roman" w:hAnsi="Times New Roman"/>
          <w:b/>
          <w:sz w:val="26"/>
          <w:szCs w:val="26"/>
        </w:rPr>
        <w:t xml:space="preserve"> trên địa bàn Thành phố Hồ Chí Minh</w:t>
      </w:r>
    </w:p>
    <w:p w14:paraId="460D7FEA" w14:textId="77777777" w:rsidR="001C3ADB" w:rsidRPr="007D05B1" w:rsidRDefault="00BE3B77" w:rsidP="00F61D6D">
      <w:pPr>
        <w:shd w:val="clear" w:color="auto" w:fill="FFFFFF"/>
        <w:tabs>
          <w:tab w:val="left" w:pos="851"/>
        </w:tabs>
        <w:spacing w:before="60" w:after="60" w:line="276" w:lineRule="auto"/>
        <w:contextualSpacing/>
        <w:jc w:val="center"/>
        <w:rPr>
          <w:rFonts w:ascii="Times New Roman" w:eastAsia="Times New Roman" w:hAnsi="Times New Roman"/>
          <w:b/>
          <w:sz w:val="26"/>
          <w:szCs w:val="26"/>
        </w:rPr>
      </w:pPr>
      <w:r w:rsidRPr="007D05B1">
        <w:rPr>
          <w:rFonts w:ascii="Times New Roman" w:eastAsia="Times New Roman" w:hAnsi="Times New Roman"/>
          <w:b/>
          <w:noProof/>
          <w:sz w:val="26"/>
          <w:szCs w:val="26"/>
        </w:rPr>
        <mc:AlternateContent>
          <mc:Choice Requires="wps">
            <w:drawing>
              <wp:anchor distT="4294967295" distB="4294967295" distL="114300" distR="114300" simplePos="0" relativeHeight="251660288" behindDoc="0" locked="0" layoutInCell="1" allowOverlap="1" wp14:anchorId="51AB265E" wp14:editId="0A9F09C3">
                <wp:simplePos x="0" y="0"/>
                <wp:positionH relativeFrom="column">
                  <wp:posOffset>2600325</wp:posOffset>
                </wp:positionH>
                <wp:positionV relativeFrom="paragraph">
                  <wp:posOffset>16509</wp:posOffset>
                </wp:positionV>
                <wp:extent cx="97155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7155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02F4CE93"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4.75pt,1.3pt" to="281.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" strokecolor="windowText" strokeweight=".5pt">
                <v:stroke joinstyle="miter"/>
                <o:lock v:ext="edit" shapetype="f"/>
              </v:line>
            </w:pict>
          </mc:Fallback>
        </mc:AlternateContent>
      </w:r>
    </w:p>
    <w:p w14:paraId="0EF1078E"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Tổ chức chính quyền địa phương số 72/2025/QH15;</w:t>
      </w:r>
    </w:p>
    <w:p w14:paraId="4FBB9A5E"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Ban hành văn bản quy phạm pháp luật số 64/2025/QH15;</w:t>
      </w:r>
    </w:p>
    <w:p w14:paraId="6B1DE26F"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Phát triển đô thị số …../2026/QH15;</w:t>
      </w:r>
    </w:p>
    <w:p w14:paraId="7484B7CE"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Phí và lệ phí số 97/2015/QH13 và Văn bản hợp nhất số 19/VBHN-VPQH ngày 26 tháng 02 năm 2025 của Văn phòng Quốc hội về Luật Phí và lệ phí;</w:t>
      </w:r>
    </w:p>
    <w:p w14:paraId="228C40DD"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Ngân sách nhà nước số 89/2025/QH15;</w:t>
      </w:r>
    </w:p>
    <w:p w14:paraId="79A12ED4"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Đầu tư công số 58/2024/QH15;</w:t>
      </w:r>
    </w:p>
    <w:p w14:paraId="378E8556"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Đầu tư theo phương thức đối tác công tư số 64/2020/QH14;</w:t>
      </w:r>
    </w:p>
    <w:p w14:paraId="719DF3B4"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Đất đai số 31/2024/QH15;</w:t>
      </w:r>
    </w:p>
    <w:p w14:paraId="539B3AD3"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Quy hoạch đô thị và nông thôn số 47/2024/QH15;</w:t>
      </w:r>
    </w:p>
    <w:p w14:paraId="052C8301"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Xây dựng số 135/2025/QH15;</w:t>
      </w:r>
    </w:p>
    <w:p w14:paraId="17AA6261" w14:textId="77777777"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Căn cứ Luật Đường sắt số 95/2025/QH15;</w:t>
      </w:r>
    </w:p>
    <w:p w14:paraId="7E8CF2BC" w14:textId="09BD6BFB" w:rsidR="00AB40C8"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 xml:space="preserve">Xét Tờ trình số ………/TTr-UBND ngày ….. </w:t>
      </w:r>
      <w:proofErr w:type="gramStart"/>
      <w:r w:rsidRPr="007D05B1">
        <w:rPr>
          <w:rFonts w:ascii="Times New Roman" w:eastAsia="Times New Roman" w:hAnsi="Times New Roman"/>
          <w:i/>
          <w:sz w:val="26"/>
          <w:szCs w:val="26"/>
        </w:rPr>
        <w:t>tháng</w:t>
      </w:r>
      <w:proofErr w:type="gramEnd"/>
      <w:r w:rsidRPr="007D05B1">
        <w:rPr>
          <w:rFonts w:ascii="Times New Roman" w:eastAsia="Times New Roman" w:hAnsi="Times New Roman"/>
          <w:i/>
          <w:sz w:val="26"/>
          <w:szCs w:val="26"/>
        </w:rPr>
        <w:t xml:space="preserve"> ….. năm 2026 của Ủy ban nhân dân Thành phố về Nghị quyết quy định việc chuyển nhượng chỉ tiêu sử dụng đất quy hoạch trong khu vực </w:t>
      </w:r>
      <w:r w:rsidR="008C6B45">
        <w:rPr>
          <w:rFonts w:ascii="Times New Roman" w:eastAsia="Times New Roman" w:hAnsi="Times New Roman"/>
          <w:i/>
          <w:sz w:val="26"/>
          <w:szCs w:val="26"/>
        </w:rPr>
        <w:t>TOD</w:t>
      </w:r>
      <w:r w:rsidRPr="007D05B1">
        <w:rPr>
          <w:rFonts w:ascii="Times New Roman" w:eastAsia="Times New Roman" w:hAnsi="Times New Roman"/>
          <w:i/>
          <w:sz w:val="26"/>
          <w:szCs w:val="26"/>
        </w:rPr>
        <w:t xml:space="preserve"> trên địa bàn Thành phố Hồ Chí Minh; Báo cáo thẩm tra số ……/BC-BĐT ngày …. tháng …. năm 2026 của Ban Đô thị Hội đồng nhân dân Thành phố; ý kiến thảo luận của đại biểu Hội đồng nhân dân tại kỳ họp;</w:t>
      </w:r>
    </w:p>
    <w:p w14:paraId="00490BCA" w14:textId="0C7A3B33" w:rsidR="002D7D93" w:rsidRPr="007D05B1" w:rsidRDefault="00AB40C8" w:rsidP="003F6925">
      <w:pPr>
        <w:spacing w:before="60" w:after="60" w:line="276" w:lineRule="auto"/>
        <w:ind w:firstLine="720"/>
        <w:jc w:val="both"/>
        <w:rPr>
          <w:rFonts w:ascii="Times New Roman" w:eastAsia="Times New Roman" w:hAnsi="Times New Roman"/>
          <w:i/>
          <w:sz w:val="26"/>
          <w:szCs w:val="26"/>
        </w:rPr>
      </w:pPr>
      <w:r w:rsidRPr="007D05B1">
        <w:rPr>
          <w:rFonts w:ascii="Times New Roman" w:eastAsia="Times New Roman" w:hAnsi="Times New Roman"/>
          <w:i/>
          <w:sz w:val="26"/>
          <w:szCs w:val="26"/>
        </w:rPr>
        <w:t xml:space="preserve">Hội đồng nhân dân Thành phố ban hành Nghị quyết quy định việc chuyển nhượng chỉ tiêu sử dụng đất quy hoạch trong khu vực </w:t>
      </w:r>
      <w:r w:rsidR="008C6B45">
        <w:rPr>
          <w:rFonts w:ascii="Times New Roman" w:eastAsia="Times New Roman" w:hAnsi="Times New Roman"/>
          <w:i/>
          <w:sz w:val="26"/>
          <w:szCs w:val="26"/>
        </w:rPr>
        <w:t>TOD</w:t>
      </w:r>
      <w:r w:rsidRPr="007D05B1">
        <w:rPr>
          <w:rFonts w:ascii="Times New Roman" w:eastAsia="Times New Roman" w:hAnsi="Times New Roman"/>
          <w:i/>
          <w:sz w:val="26"/>
          <w:szCs w:val="26"/>
        </w:rPr>
        <w:t xml:space="preserve"> trên địa bàn Thành phố Hồ Chí Minh.</w:t>
      </w:r>
    </w:p>
    <w:p w14:paraId="250DED7C" w14:textId="41EE0F14" w:rsidR="00AB40C8" w:rsidRPr="007D05B1" w:rsidRDefault="00AB40C8" w:rsidP="003F6925">
      <w:pPr>
        <w:spacing w:after="0" w:line="240" w:lineRule="auto"/>
        <w:ind w:firstLine="720"/>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1. Phạm vi điều chỉnh</w:t>
      </w:r>
    </w:p>
    <w:p w14:paraId="225C6AA1" w14:textId="69241405"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Nghị quyết này quy định nguyên tắc, điều kiện, nguồn hình thành, hạn ngạch, phương thức, thẩm quyền, trình tự, nghĩa vụ tài chính và cơ chế quản lý đối với việc chuyển nhượng chỉ tiêu sử dụng đất quy hoạch giữa các dự án, công trình trong khu vực khu vự</w:t>
      </w:r>
      <w:r w:rsidR="00C115B7">
        <w:rPr>
          <w:rFonts w:ascii="Times New Roman" w:eastAsia="Times New Roman" w:hAnsi="Times New Roman"/>
          <w:sz w:val="26"/>
          <w:szCs w:val="26"/>
          <w:lang w:val="en"/>
        </w:rPr>
        <w:t>c TOD</w:t>
      </w:r>
      <w:r w:rsidRPr="007D05B1">
        <w:rPr>
          <w:rFonts w:ascii="Times New Roman" w:eastAsia="Times New Roman" w:hAnsi="Times New Roman"/>
          <w:sz w:val="26"/>
          <w:szCs w:val="26"/>
          <w:lang w:val="en"/>
        </w:rPr>
        <w:t xml:space="preserve"> trên địa bàn Thành phố Hồ Chí Minh.</w:t>
      </w:r>
    </w:p>
    <w:p w14:paraId="4E7363A3"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Nghị quyết này quy định cơ chế quản lý Quỹ dự trữ chỉ tiêu quy hoạch, xác định sức chứa phát triển tăng thêm, cách thức phân bổ Quỹ theo cơ chế chuyển nhượng và hoàn trả trong từng khu vực TOD.</w:t>
      </w:r>
    </w:p>
    <w:p w14:paraId="3BC24EC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lastRenderedPageBreak/>
        <w:t>3. Việc chuyển nhượng chỉ tiêu quy hoạch theo Nghị quyết này không làm chuyển quyền sử dụng đất, quyền sở hữu tài sản gắn liền với đất và không thay thế các nghĩa vụ về đất đai, đầu tư, xây dựng, nhà ở, môi trường và các nghĩa vụ khác theo quy định của pháp luật.</w:t>
      </w:r>
    </w:p>
    <w:p w14:paraId="2855E3E5"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2. Đối tượng áp dụng</w:t>
      </w:r>
    </w:p>
    <w:p w14:paraId="02147E5E"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Cơ quan nhà nước, đơn vị được giao nhiệm vụ quản lý, tổ chức lập, thẩm định, phê duyệt và tổ chức thực hiện quy hoạch khu vực TOD.</w:t>
      </w:r>
    </w:p>
    <w:p w14:paraId="67409C23"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Chủ đầu tư, tổ chức, cá nhân có quyền sử dụng đất, quyền đầu tư xây dựng hoặc quyền phát triển dự án hợp pháp tại khu vực được xác định là khu vực cho hoặc khu vực nhận chỉ tiêu quy hoạch.</w:t>
      </w:r>
    </w:p>
    <w:p w14:paraId="34B2C93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Tổ chức thực hiện đấu giá, thẩm định giá, tư vấn quy hoạch, tư vấn giao thông, tư vấn hạ tầng và các tổ chức, cá nhân khác có liên quan.</w:t>
      </w:r>
    </w:p>
    <w:p w14:paraId="49DD9C3E"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3. Giải thích từ ngữ</w:t>
      </w:r>
    </w:p>
    <w:p w14:paraId="55BFD3E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Trong Nghị quyết này, các từ ngữ dưới đây được hiểu như sau:</w:t>
      </w:r>
    </w:p>
    <w:p w14:paraId="3B306B61"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1. </w:t>
      </w:r>
      <w:r w:rsidRPr="007D05B1">
        <w:rPr>
          <w:rFonts w:ascii="Times New Roman" w:eastAsia="Times New Roman" w:hAnsi="Times New Roman"/>
          <w:i/>
          <w:iCs/>
          <w:sz w:val="26"/>
          <w:szCs w:val="26"/>
          <w:lang w:val="en"/>
        </w:rPr>
        <w:t>Sức chứa phát triển khu vực TOD</w:t>
      </w:r>
      <w:r w:rsidRPr="007D05B1">
        <w:rPr>
          <w:rFonts w:ascii="Times New Roman" w:eastAsia="Times New Roman" w:hAnsi="Times New Roman"/>
          <w:sz w:val="26"/>
          <w:szCs w:val="26"/>
          <w:lang w:val="en"/>
        </w:rPr>
        <w:t xml:space="preserve"> là khả năng đáp ứng và dung nạp của hệ thống giao thông, hạ tầng kỹ thuật, hạ tầng xã hội và không gian đô thị đối với quy mô dân số, diện tích sàn xây dựng và các hoạt động phát triển trong khu vực TOD.</w:t>
      </w:r>
    </w:p>
    <w:p w14:paraId="4B943FC1"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2. </w:t>
      </w:r>
      <w:r w:rsidRPr="007D05B1">
        <w:rPr>
          <w:rFonts w:ascii="Times New Roman" w:eastAsia="Times New Roman" w:hAnsi="Times New Roman"/>
          <w:i/>
          <w:iCs/>
          <w:sz w:val="26"/>
          <w:szCs w:val="26"/>
          <w:lang w:val="en"/>
        </w:rPr>
        <w:t>Sức chứa phát triển tăng thêm</w:t>
      </w:r>
      <w:r w:rsidRPr="007D05B1">
        <w:rPr>
          <w:rFonts w:ascii="Times New Roman" w:eastAsia="Times New Roman" w:hAnsi="Times New Roman"/>
          <w:sz w:val="26"/>
          <w:szCs w:val="26"/>
          <w:lang w:val="en"/>
        </w:rPr>
        <w:t xml:space="preserve"> là phần năng lực phát triển còn có thể bổ sung trên cơ sở sức chứa phát triển của khu vực TOD sau khi đã trừ nhu cầu của hiện trạng, các dự án đã được chấp thuận, các nghĩa vụ hạ tầng và mức dự phòng cần thiết.</w:t>
      </w:r>
    </w:p>
    <w:p w14:paraId="115EAEF3"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w:t>
      </w:r>
      <w:r w:rsidRPr="007D05B1">
        <w:rPr>
          <w:rFonts w:ascii="Times New Roman" w:eastAsia="Times New Roman" w:hAnsi="Times New Roman"/>
          <w:i/>
          <w:iCs/>
          <w:sz w:val="26"/>
          <w:szCs w:val="26"/>
          <w:lang w:val="en"/>
        </w:rPr>
        <w:t>. Quỹ dự trữ chỉ tiêu quy hoạch</w:t>
      </w:r>
      <w:r w:rsidRPr="007D05B1">
        <w:rPr>
          <w:rFonts w:ascii="Times New Roman" w:eastAsia="Times New Roman" w:hAnsi="Times New Roman"/>
          <w:sz w:val="26"/>
          <w:szCs w:val="26"/>
          <w:lang w:val="en"/>
        </w:rPr>
        <w:t xml:space="preserve"> là công cụ quản lý phần sức chứa tăng thêm chưa được phân bổ cho dự án, công trình, khu vực cụ thể hoặc đã phân bổ nhưng được hoàn trả, bị thu hồi để tái phân bổ theo Nghị quyết này. Quỹ dự trữ chỉ tiêu quy hoạch không làm phát sinh quyền tài sản độc lập của tổ chức, cá nhân đối với phần chỉ tiêu chưa được cơ quan có thẩm quyền phân bổ.</w:t>
      </w:r>
    </w:p>
    <w:p w14:paraId="786A5FF7"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4. </w:t>
      </w:r>
      <w:r w:rsidRPr="007D05B1">
        <w:rPr>
          <w:rFonts w:ascii="Times New Roman" w:eastAsia="Times New Roman" w:hAnsi="Times New Roman"/>
          <w:i/>
          <w:iCs/>
          <w:sz w:val="26"/>
          <w:szCs w:val="26"/>
          <w:lang w:val="en"/>
        </w:rPr>
        <w:t>Chỉ tiêu quy hoạch được chuyển nhượng</w:t>
      </w:r>
      <w:r w:rsidRPr="007D05B1">
        <w:rPr>
          <w:rFonts w:ascii="Times New Roman" w:eastAsia="Times New Roman" w:hAnsi="Times New Roman"/>
          <w:sz w:val="26"/>
          <w:szCs w:val="26"/>
          <w:lang w:val="en"/>
        </w:rPr>
        <w:t xml:space="preserve"> là phần chỉ tiêu quy hoạch được cơ quan có thẩm quyền cho phép phân bổ lại từ Quỹ dự trữ đến nơi nhận hoặc giữa các khu vực cho và nhận để dự án, công trình trong khu vực nhận được tăng diện tích sàn xây dựng theo chức năng phù hợp. Việc chuyển nhượng được quy đổi thành số lượng đơn vị chuyển nhượng tiêu chuẩn, bao gồm diện tích sàn xây dựng nhà ở gắn với quy mô dân số tương ứng và diện tích sàn xây dựng phi nhà ở. Diện tích này là căn cứ để ghi nhận, quản lý và xác định nghĩa vụ tài chính của bên nhận chuyển nhượng chỉ tiêu.</w:t>
      </w:r>
    </w:p>
    <w:p w14:paraId="23F06FB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5</w:t>
      </w:r>
      <w:r w:rsidRPr="007D05B1">
        <w:rPr>
          <w:rFonts w:ascii="Times New Roman" w:eastAsia="Times New Roman" w:hAnsi="Times New Roman"/>
          <w:i/>
          <w:iCs/>
          <w:sz w:val="26"/>
          <w:szCs w:val="26"/>
          <w:lang w:val="en"/>
        </w:rPr>
        <w:t>. Khu vực cho chỉ tiêu quy hoạch</w:t>
      </w:r>
      <w:r w:rsidRPr="007D05B1">
        <w:rPr>
          <w:rFonts w:ascii="Times New Roman" w:eastAsia="Times New Roman" w:hAnsi="Times New Roman"/>
          <w:sz w:val="26"/>
          <w:szCs w:val="26"/>
          <w:lang w:val="en"/>
        </w:rPr>
        <w:t xml:space="preserve"> là dự án, công trình hoặc khu vực được định hướng giảm một phần chỉ tiêu quy hoạch theo quy hoạch khu vực TOD và được cơ quan có thẩm quyền chấp thuận chuyển phần chỉ tiêu giảm sang khu vực nhận hoặc hoàn trả vào Quỹ dự trữ chỉ tiêu quy hoạch. Khu vực cho chỉ tiêu có thể được chỉ định nằm bên ngoài khu vực TOD.</w:t>
      </w:r>
    </w:p>
    <w:p w14:paraId="59FA38A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lastRenderedPageBreak/>
        <w:t xml:space="preserve">6. </w:t>
      </w:r>
      <w:r w:rsidRPr="007D05B1">
        <w:rPr>
          <w:rFonts w:ascii="Times New Roman" w:eastAsia="Times New Roman" w:hAnsi="Times New Roman"/>
          <w:i/>
          <w:iCs/>
          <w:sz w:val="26"/>
          <w:szCs w:val="26"/>
          <w:lang w:val="en"/>
        </w:rPr>
        <w:t>Khu vực nhận chỉ tiêu quy hoạch</w:t>
      </w:r>
      <w:r w:rsidRPr="007D05B1">
        <w:rPr>
          <w:rFonts w:ascii="Times New Roman" w:eastAsia="Times New Roman" w:hAnsi="Times New Roman"/>
          <w:sz w:val="26"/>
          <w:szCs w:val="26"/>
          <w:lang w:val="en"/>
        </w:rPr>
        <w:t xml:space="preserve"> là dự án, công trình hoặc khu vực được quy hoạch định hướng tăng cường độ phát triển và được cơ quan có thẩm quyền chấp thuận nhận thêm chỉ tiêu quy hoạch bên trong khu vực TOD.</w:t>
      </w:r>
    </w:p>
    <w:p w14:paraId="6F5C974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7</w:t>
      </w:r>
      <w:r w:rsidRPr="007D05B1">
        <w:rPr>
          <w:rFonts w:ascii="Times New Roman" w:eastAsia="Times New Roman" w:hAnsi="Times New Roman"/>
          <w:i/>
          <w:iCs/>
          <w:sz w:val="26"/>
          <w:szCs w:val="26"/>
          <w:lang w:val="en"/>
        </w:rPr>
        <w:t xml:space="preserve">. Chương trình chuyển nhượng chỉ tiêu quy hoạch </w:t>
      </w:r>
      <w:r w:rsidRPr="007D05B1">
        <w:rPr>
          <w:rFonts w:ascii="Times New Roman" w:eastAsia="Times New Roman" w:hAnsi="Times New Roman"/>
          <w:sz w:val="26"/>
          <w:szCs w:val="26"/>
          <w:lang w:val="en"/>
        </w:rPr>
        <w:t xml:space="preserve">là công cụ quản lý tổng hợp việc áp dụng cơ chế </w:t>
      </w:r>
      <w:r w:rsidR="00481B25" w:rsidRPr="007D05B1">
        <w:rPr>
          <w:rFonts w:ascii="Times New Roman" w:eastAsia="Times New Roman" w:hAnsi="Times New Roman"/>
          <w:sz w:val="26"/>
          <w:szCs w:val="26"/>
          <w:lang w:val="en"/>
        </w:rPr>
        <w:t>chuyển nhượng chỉ tiêu</w:t>
      </w:r>
      <w:r w:rsidRPr="007D05B1">
        <w:rPr>
          <w:rFonts w:ascii="Times New Roman" w:eastAsia="Times New Roman" w:hAnsi="Times New Roman"/>
          <w:sz w:val="26"/>
          <w:szCs w:val="26"/>
          <w:lang w:val="en"/>
        </w:rPr>
        <w:t xml:space="preserve"> đối với các khu vực chuyển nhượng chỉ tiêu quy hoạch tại các khu vực TOD và các khu vực được chỉ định cho chỉ tiêu quy hoạch trên toàn Thành phố.</w:t>
      </w:r>
    </w:p>
    <w:p w14:paraId="4E24E14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8. </w:t>
      </w:r>
      <w:r w:rsidRPr="007D05B1">
        <w:rPr>
          <w:rFonts w:ascii="Times New Roman" w:eastAsia="Times New Roman" w:hAnsi="Times New Roman"/>
          <w:i/>
          <w:iCs/>
          <w:sz w:val="26"/>
          <w:szCs w:val="26"/>
          <w:lang w:val="en"/>
        </w:rPr>
        <w:t>Sổ chỉ tiêu quy hoạch TOD</w:t>
      </w:r>
      <w:r w:rsidRPr="007D05B1">
        <w:rPr>
          <w:rFonts w:ascii="Times New Roman" w:eastAsia="Times New Roman" w:hAnsi="Times New Roman"/>
          <w:sz w:val="26"/>
          <w:szCs w:val="26"/>
          <w:lang w:val="en"/>
        </w:rPr>
        <w:t xml:space="preserve"> là cơ sở dữ liệu quản lý tập trung việc hình thành, phân bổ, chuyển nhượng, ghi tăng, ghi giảm, sử dụng, hoàn trả và thu hồi chỉ tiêu quy hoạch trong từng khu vực TOD và toàn bộ Chương trình.</w:t>
      </w:r>
    </w:p>
    <w:p w14:paraId="77E424B4"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9. Sức chứa giao thông TOD (Traffic Capacity) là bộ giới hạn về nhu cầu đi lại, lưu lượng giờ cao điểm, năng lực phục vụ của nhà ga, giao thông công cộng, mạng lưới đường bộ, đi bộ và xe đạp được xác định trong đánh giá giao thông tổng thể của khu vực TOD.</w:t>
      </w:r>
    </w:p>
    <w:p w14:paraId="06611683"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10. Hệ số dự phòng α là tỷ lệ sức chứa được giữ lại để xử lý sai số dự báo, biến động cơ cấu sử dụng đất, nhu cầu hạ tầng và yêu cầu phát triển dài hạn; hệ số này không phải hệ số điều tiết tài chính.</w:t>
      </w:r>
    </w:p>
    <w:p w14:paraId="55A962A6"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11. Sàn nhà ở là diện tích sàn xây dựng của phần công trình có chức năng ở. Sàn phi nhà ở là diện tích sàn của các chức năng khác và được theo dõi riêng tối thiểu theo nhóm thương mại bán lẻ, văn phòng và nhóm phi nhà ở khác.</w:t>
      </w:r>
    </w:p>
    <w:p w14:paraId="5E3A69F2"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12. Lõi TOD là phạm vi tập trung phát triển cường độ cao quanh nhà ga được xác định trong quy hoạch khu vực TOD, làm cơ sở kiểm soát sức chứa, hạn ngạch và ngưỡng đánh giá tác động giao thông.</w:t>
      </w:r>
    </w:p>
    <w:p w14:paraId="01FF5B7C"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4. Nguyên tắc chuyển nhượng chỉ tiêu quy hoạch</w:t>
      </w:r>
    </w:p>
    <w:p w14:paraId="3C654D1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Việc chuyển nhượng chỉ tiêu quy hoạch phải phù hợp với quy hoạch khu vực, quy hoạch các khu vực chỉ định và các mục tiêu phát triển ưu tiên của Thành phố theo từng giai đoạn.</w:t>
      </w:r>
    </w:p>
    <w:p w14:paraId="154BF35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Khu vực tăng chỉ tiêu phải đáp ứng yêu cầu về sức chứa tăng thêm của hạ tầng kỹ thuật và hạ tầng xã hội theo từng giai đoạn.</w:t>
      </w:r>
    </w:p>
    <w:p w14:paraId="1DC2CB4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Việc tăng chỉ tiêu tại khu vực nhận phải được cân đối bằng một hoặc nhiều nguồn sau đây:</w:t>
      </w:r>
    </w:p>
    <w:p w14:paraId="54FD8D5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Phần hạn ngạch còn lại của khu vực TOD;</w:t>
      </w:r>
    </w:p>
    <w:p w14:paraId="1E23B93E"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Phần chỉ tiêu được giảm tương ứng tại khu vực cho, có thể nằm bên ngoài phạm vi khu vực TOD;</w:t>
      </w:r>
    </w:p>
    <w:p w14:paraId="5B863E50"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Phần chỉ tiêu đã được hoàn trả hoặc thu hồi trong khu vực TOD theo quy định của Nghị quyết này.</w:t>
      </w:r>
    </w:p>
    <w:p w14:paraId="4811652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4. Không sử dụng cơ chế chuyển nhượng chỉ tiêu quy hoạch để hợp thức hóa công trình, dự án đã xây dựng vượt chỉ tiêu được cơ quan có thẩm quyền chấp thuận.</w:t>
      </w:r>
    </w:p>
    <w:p w14:paraId="5E620D5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lastRenderedPageBreak/>
        <w:t xml:space="preserve">5. Việc chuyển nhượng phải được quản lý tập trung, có khả năng truy xuất nguồn gốc chỉ tiêu, công khai hạn ngạch còn lại và bảo đảm không ghi nhận trùng lặp một đơn vị chỉ tiêu cho nhiều dự án trong Chương trình </w:t>
      </w:r>
      <w:r w:rsidR="005003D9" w:rsidRPr="007D05B1">
        <w:rPr>
          <w:rFonts w:ascii="Times New Roman" w:eastAsia="Times New Roman" w:hAnsi="Times New Roman"/>
          <w:sz w:val="26"/>
          <w:szCs w:val="26"/>
          <w:lang w:val="en"/>
        </w:rPr>
        <w:t>chuyển nhượng chỉ tiêu quy hoạch</w:t>
      </w:r>
      <w:r w:rsidRPr="007D05B1">
        <w:rPr>
          <w:rFonts w:ascii="Times New Roman" w:eastAsia="Times New Roman" w:hAnsi="Times New Roman"/>
          <w:sz w:val="26"/>
          <w:szCs w:val="26"/>
          <w:lang w:val="en"/>
        </w:rPr>
        <w:t>.</w:t>
      </w:r>
    </w:p>
    <w:p w14:paraId="72A78937"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6. Quyết định chuyển nhượng chỉ tiêu quy hoạch là quyết định quản lý nhà nước của cơ quan có thẩm quyền; thỏa thuận giữa các tổ chức, cá nhân, nếu có, không làm phát sinh quyền sử dụng chỉ tiêu nếu chưa được cơ quan có thẩm quyền chấp thuận và ghi tăng, ghi giảm tương ứng.</w:t>
      </w:r>
    </w:p>
    <w:p w14:paraId="2047FA6B"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7. Việc chuyển nhượng phải bảo đảm công khai, minh bạch về thời điểm và thứ tự tiếp nhận đề xuất; bảo đảm phân bổ theo nguyên tắc cạnh tranh thông qua đấu giá trong trường hợp có nhiều chủ thể cùng có nhu cầu chuyển nhượng vượt hạn ngạch hoặc khu vực khan hiếm chỉ tiêu; không làm phát sinh lợi ích nhóm, thất thoát nguồn lực nhà nước hoặc đầu cơ chỉ tiêu quy hoạch.</w:t>
      </w:r>
    </w:p>
    <w:p w14:paraId="045EA308"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8. Quy mô chỉ tiêu được phép chuyển nhượng, tiếp nhận hoặc hiện thực hóa được xác định theo giá trị thấp nhất trong các giới hạn: nguồn chỉ tiêu hợp pháp; hạn ngạch còn lại của giai đoạn; chỉ tiêu quy hoạch tối đa; dân số được phân bổ; sức chứa hạ tầng kỹ thuật, hạ tầng xã hội, giao thông; và giới hạn khác theo pháp luật.</w:t>
      </w:r>
    </w:p>
    <w:p w14:paraId="3DA11A4F"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9. Việc hoàn thành nghĩa vụ tài chính hoặc trúng đấu giá không làm phát sinh quyền đương nhiên được xây dựng vượt bất kỳ giới hạn nào quy định tại khoản 8 Điều này.</w:t>
      </w:r>
    </w:p>
    <w:p w14:paraId="687B2F93"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10. Sàn nhà ở, sàn thương mại bán lẻ, sàn văn phòng và các nhóm sàn phi nhà ở khác phải được xác định, phân bổ và theo dõi riêng; việc chuyển đổi chức năng phải được cơ quan có thẩm quyền chấp thuận và đánh giá lại dân số, hạ tầng, giao thông và nghĩa vụ tài chính.</w:t>
      </w:r>
    </w:p>
    <w:p w14:paraId="58DD034D"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11. Dự án nằm trong quy mô, cơ cấu và Traffic Capacity đã được đánh giá tổng thể ở cấp khu vực TOD chỉ phải đánh giá phần gia tăng và sức chứa còn lại; không lặp lại các nội dung đã được đánh giá, trừ trường hợp phải lập đánh giá tác động giao thông độc lập theo Phụ lục I.</w:t>
      </w:r>
    </w:p>
    <w:p w14:paraId="31D48634"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5. Nguồn hình thành và quản lý Quỹ dự trữ chỉ tiêu quy hoạch</w:t>
      </w:r>
    </w:p>
    <w:p w14:paraId="412D3B9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Quỹ dự trữ chỉ tiêu quy hoạch của từng khu vực TOD được hình thành từ:</w:t>
      </w:r>
    </w:p>
    <w:p w14:paraId="7F536990"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Phần sức chứa phát triển tăng thêm được xác định trong quy hoạch khu vực TOD nhưng chưa phân bổ cho dự án, công trình cụ thể;</w:t>
      </w:r>
    </w:p>
    <w:p w14:paraId="3E05C07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Phần chỉ tiêu được giảm tại các khu vực cho và được hoàn trả vào Quỹ;</w:t>
      </w:r>
    </w:p>
    <w:p w14:paraId="7DB62298"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Phần chỉ tiêu được thu hồi do hết thời hạn sử dụng, không sử dụng hoặc sử dụng không đúng điều kiện được chấp thuận;</w:t>
      </w:r>
    </w:p>
    <w:p w14:paraId="4F5A2158"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d) Các nguồn khác được pháp luật cho phép.</w:t>
      </w:r>
    </w:p>
    <w:p w14:paraId="4FBE1E2F"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Quỹ dự trữ chỉ tiêu quy hoạch được quản lý riêng cho từng khu vực TOD. Việc điều phối chỉ tiêu, kể cả chỉ tiêu từ bên ngoài khu vực TOD, chỉ được thực hiện đối với các khu vực được chỉ định theo mục tiêu chung.</w:t>
      </w:r>
    </w:p>
    <w:p w14:paraId="4B98DC8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Phương pháp xác định nguồn hình thành, phân loại và quy đổi đơn vị chỉ tiêu thực hiện theo Phụ lục II ban hành kèm theo Nghị quyết này.</w:t>
      </w:r>
    </w:p>
    <w:p w14:paraId="4250C64A"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lastRenderedPageBreak/>
        <w:t>Điều 6. Xác định sức chứa phát triển tăng thêm và hạn ngạch chỉ tiêu được phép chuyển nhượng</w:t>
      </w:r>
    </w:p>
    <w:p w14:paraId="2FD3D4E8"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Sức chứa phát triển tăng thêm của khu vực TOD được xác định trên cơ sở đánh giá tác động giao thông và sức chứa hạ tầng kỹ thuật, đánh giá sức chứa hạ tầng xã hội và đối chiếu với các quy định về kiểm soát phát triển có liên quan theo từng lĩnh vực. Sức chứa phát triển tăng thêm được xác định theo giới hạn thấp nhất trong kết quả đánh giá tổng hợp các hạng mục và lĩnh vực.</w:t>
      </w:r>
    </w:p>
    <w:p w14:paraId="6C9BA1D1"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Hạn ngạch được xác định theo từng giai đoạn phù hợp với tiến độ đầu tư hệ thống đường sắt đô thị và hạ tầng khu vực. Hạn ngạch chưa sử dụng của một giai đoạn không mặc nhiên được chuyển sang giai đoạn tiếp theo nếu chưa được rà soát lại sức chứa.</w:t>
      </w:r>
    </w:p>
    <w:p w14:paraId="299BD17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Phương pháp xác định sức chứa phát triển tăng thêm và hạn ngạch thực hiện theo Phụ lục I ban hành kèm theo Nghị quyết này.</w:t>
      </w:r>
    </w:p>
    <w:p w14:paraId="59BF12CD"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7. Điều kiện và phương thức chuyển nhượng chỉ tiêu quy hoạch</w:t>
      </w:r>
    </w:p>
    <w:p w14:paraId="12411D2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Dự án nhận chỉ tiêu quy hoạch phải đáp ứng các điều kiện sau:</w:t>
      </w:r>
    </w:p>
    <w:p w14:paraId="6707994F" w14:textId="77777777" w:rsidR="00A827EC" w:rsidRPr="007D05B1" w:rsidRDefault="003B455C" w:rsidP="003F6925">
      <w:pPr>
        <w:spacing w:after="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a) Phù hợp quy hoạch khu vực TOD và chương trình chuyển nhượng chỉ tiêu quy hoạch được phê duyệt;</w:t>
      </w:r>
    </w:p>
    <w:p w14:paraId="2991647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Thuộc khu vực TOD đã được quy hoạch định hướng tăng cường độ phát triển hoặc được xác định có khả năng tiếp nhận chỉ tiêu;</w:t>
      </w:r>
    </w:p>
    <w:p w14:paraId="49C8BB6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Có chức năng sử dụng đất và loại hình phát triển phù hợp với nguồn chỉ tiêu được tiếp nhận;</w:t>
      </w:r>
    </w:p>
    <w:p w14:paraId="34C9DD1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d) Không vượt sức chứa và hạn ngạch được phép chuyển nhượng;</w:t>
      </w:r>
    </w:p>
    <w:p w14:paraId="3F32CB0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đ) Có khả năng đáp ứng hoặc có phương án bổ sung hạ tầng tương ứng với phần phát triển tăng thêm trong trường hợp phê duyệt có điều kiện đi kèm với việc bổ sung năng lực hạ tầng khu vực;</w:t>
      </w:r>
    </w:p>
    <w:p w14:paraId="1AA40DC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e) Chủ đầu tư có quyền hợp pháp để triển khai dự án tại khu đất nhận chỉ tiêu;</w:t>
      </w:r>
    </w:p>
    <w:p w14:paraId="22B09E20"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g) Thực hiện đầy đủ nghĩa vụ tài chính theo quy định.</w:t>
      </w:r>
    </w:p>
    <w:p w14:paraId="6CAEF283"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Việc phân bổ, chuyển nhượng chỉ tiêu được thực hiện theo một trong các phương thức:</w:t>
      </w:r>
    </w:p>
    <w:p w14:paraId="0E9A70F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Phân bổ phần chỉ tiêu chưa được phân bổ từ Quỹ dự trữ cho dự án, công trình đủ điều kiện;</w:t>
      </w:r>
    </w:p>
    <w:p w14:paraId="55ECAAC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Chuyển chỉ tiêu từ khu vực cho sang khu vực nhận theo quyết định của Ủy ban nhân dân Thành phố;</w:t>
      </w:r>
    </w:p>
    <w:p w14:paraId="7360F945"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Hoàn trả chỉ tiêu từ khu vực cho về Quỹ dự trữ để tái phân bổ;</w:t>
      </w:r>
    </w:p>
    <w:p w14:paraId="6A47CFD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d) Phân bổ thông qua đấu giá hoặc phương thức cạnh tranh khác trong trường hợp pháp luật cho phép và có nhiều chủ thể đề xuất vượt hạn ngạch hoặc khu vực có hạn ngạch khan hiếm.</w:t>
      </w:r>
    </w:p>
    <w:p w14:paraId="5FFE3E9B"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lastRenderedPageBreak/>
        <w:t>3. Đối với trường hợp chuyển trực tiếp giữa khu vực cho và khu vực nhận đối với các trường hợp ưu tiên như bảo tồn di sản, cảnh quan tự nhiên, các bên có thể đề xuất phương án chuyển nhượng và thỏa thuận về các lợi ích kinh tế liên quan theo quy định của pháp luật; thỏa thuận này không thay thế quyết định của cơ quan có thẩm quyền và không làm giảm nghĩa vụ tài chính phải thực hiện đối với Nhà nước.</w:t>
      </w:r>
    </w:p>
    <w:p w14:paraId="37B49AA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4. Chi tiết về nguồn, điều kiện tương thích, phương thức chuyển nhượng và quy đổi chỉ tiêu thực hiện theo Phụ lục II ban hành kèm theo Nghị quyết này.</w:t>
      </w:r>
    </w:p>
    <w:p w14:paraId="269E9493"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8. Trình tự, thẩm quyền quyết định chuyển nhượng</w:t>
      </w:r>
    </w:p>
    <w:p w14:paraId="2CB687F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rPr>
        <w:t>1. Tổ chức, cá nhân có nhu cầu nhận chuyển nhượng chỉ tiêu quy hoạch lập hồ sơ đề nghị gửi cơ quan đầu mối do Ủy ban nhân dân Thành phố giao.</w:t>
      </w:r>
    </w:p>
    <w:p w14:paraId="718A1FC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rPr>
        <w:t>2. Cơ quan đầu mối xem xét hồ sơ chuyển nhượng và trình Ủy ban nhân dân Thành phố phê duyệt.</w:t>
      </w:r>
    </w:p>
    <w:p w14:paraId="5AF1554E"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rPr>
        <w:t>3. Tổ chức hoàn thành nghĩa vụ tài chính.</w:t>
      </w:r>
    </w:p>
    <w:p w14:paraId="776266A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rPr>
        <w:t>4. Ủy ban nhân dân Thành phố quyết định việc chuyển nhượng chỉ tiêu quy hoạch.</w:t>
      </w:r>
    </w:p>
    <w:p w14:paraId="1509F6C8"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rPr>
        <w:t>5. Cơ quan đầu mối ghi giảm nguồn chỉ tiêu, ghi tăng chỉ tiêu khu vực nhận và cập nhật cơ sở dữ liệu.</w:t>
      </w:r>
    </w:p>
    <w:p w14:paraId="3A4D1AEB" w14:textId="77777777" w:rsidR="00AB40C8" w:rsidRPr="007D05B1" w:rsidRDefault="00AB40C8" w:rsidP="003F6925">
      <w:pPr>
        <w:tabs>
          <w:tab w:val="left" w:pos="851"/>
        </w:tabs>
        <w:spacing w:before="60" w:after="60" w:line="276" w:lineRule="auto"/>
        <w:ind w:firstLine="720"/>
        <w:jc w:val="both"/>
        <w:rPr>
          <w:rFonts w:ascii="Times New Roman" w:hAnsi="Times New Roman"/>
          <w:sz w:val="26"/>
          <w:szCs w:val="26"/>
        </w:rPr>
      </w:pPr>
      <w:r w:rsidRPr="007D05B1">
        <w:rPr>
          <w:rFonts w:ascii="Times New Roman" w:eastAsia="Times New Roman" w:hAnsi="Times New Roman"/>
          <w:sz w:val="26"/>
          <w:szCs w:val="26"/>
        </w:rPr>
        <w:t>6. Trình tự, thành phần hồ sơ, nội dung thẩm định và cơ chế cập nhật dữ liệu thực hiện theo Phụ lục III ban hành kèm theo Nghị quyết này.</w:t>
      </w:r>
    </w:p>
    <w:p w14:paraId="3B0E6F0E"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9. Nghĩa vụ tài chính</w:t>
      </w:r>
    </w:p>
    <w:p w14:paraId="33C74314"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Tổ chức, cá nhân nhận chỉ tiêu quy hoạch tăng thêm có trách nhiệm thực hiện nghĩa vụ tài chính đối với phần chỉ tiêu tăng thêm theo Nghị quyết này và quy định của pháp luật có liên quan.</w:t>
      </w:r>
    </w:p>
    <w:p w14:paraId="7E652BAE"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Nghĩa vụ tài chính được xác định trên cơ sở:</w:t>
      </w:r>
    </w:p>
    <w:p w14:paraId="0A49B51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Quy mô, diện tích sàn tăng thêm và giá trị theo chức năng, vị trí được quy định trong bảng giá hoặc thông qua quá trình đấu giá;</w:t>
      </w:r>
    </w:p>
    <w:p w14:paraId="48B5D99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Miễn, giảm nghĩa vụ để thực hiện mục tiêu chính sách về phát triển nhà ở xã hội, nhà ở giá phù hợp, cải tạo đô thị, bảo tồn di sản, phát triển không gian xanh và các mục tiêu công cộng khác.</w:t>
      </w:r>
    </w:p>
    <w:p w14:paraId="0369A80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Phương pháp xác định khoản thu thực hiện theo Phụ lục IV ban hành kèm theo Nghị quyết này.</w:t>
      </w:r>
    </w:p>
    <w:p w14:paraId="076038DD"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10. Quản lý chỉ tiêu quy hoạch sau chuyển nhượng</w:t>
      </w:r>
    </w:p>
    <w:p w14:paraId="117236B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Quyết định chấp thuận chuyển nhượng chỉ tiêu quy hoạch của Ủy ban nhân dân Thành phố là căn cứ pháp lý để:</w:t>
      </w:r>
    </w:p>
    <w:p w14:paraId="65AA3923"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Ghi giảm chỉ tiêu tại nguồn hình thành hoặc khu vực cho;</w:t>
      </w:r>
    </w:p>
    <w:p w14:paraId="4E5EDD10"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Ghi tăng chỉ tiêu tương ứng tại khu vực nhận;</w:t>
      </w:r>
    </w:p>
    <w:p w14:paraId="2853977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Cập nhật Sổ chỉ tiêu quy hoạch TOD, cơ sở dữ liệu quy hoạch và hồ sơ quản lý quy hoạch;</w:t>
      </w:r>
    </w:p>
    <w:p w14:paraId="29E766B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lastRenderedPageBreak/>
        <w:t>d) Cung cấp thông tin quy hoạch và xem xét các thủ tục đầu tư, đất đai, thiết kế xây dựng, cấp giấy phép xây dựng và các thủ tục hành chính khác có liên quan.</w:t>
      </w:r>
    </w:p>
    <w:p w14:paraId="2D5D095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Chỉ tiêu được nhận phải được đầu tư xây dựng trong thời hạn 0</w:t>
      </w:r>
      <w:r w:rsidR="00837B6E" w:rsidRPr="007D05B1">
        <w:rPr>
          <w:rFonts w:ascii="Times New Roman" w:eastAsia="Times New Roman" w:hAnsi="Times New Roman"/>
          <w:sz w:val="26"/>
          <w:szCs w:val="26"/>
          <w:lang w:val="en"/>
        </w:rPr>
        <w:t>1</w:t>
      </w:r>
      <w:r w:rsidRPr="007D05B1">
        <w:rPr>
          <w:rFonts w:ascii="Times New Roman" w:eastAsia="Times New Roman" w:hAnsi="Times New Roman"/>
          <w:sz w:val="26"/>
          <w:szCs w:val="26"/>
          <w:lang w:val="en"/>
        </w:rPr>
        <w:t xml:space="preserve"> năm kể từ ngày quyết định chuyển nhượng có hiệu lực, trừ trường hợp quyết định chấp thuận quy định thời hạn khác phù hợp với tiến độ dự án.</w:t>
      </w:r>
    </w:p>
    <w:p w14:paraId="653C670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Trước khi hết thời hạn quy định tại khoản 2 Điều này, chủ đầu tư có thể đề nghị gia hạn một lần nếu việc chậm sử dụng xuất phát từ nguyên nhân khách quan hoặc do yêu cầu của cơ quan nhà nước có thẩm quyền. Việc gia hạn phải được cơ quan có thẩm quyền chấp thuận.</w:t>
      </w:r>
    </w:p>
    <w:p w14:paraId="5948A31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4. Phần chỉ tiêu hết thời hạn mà chưa sử dụng, không được gia hạn hoặc bị sử dụng không đúng điều kiện được chấp thuận thì bị thu hồi, hoàn trả vào Quỹ dự trữ. Việc xử lý nghĩa vụ tài chính khi thu hồi thực hiện theo quy định tại Phụ lục IV và quyết định chấp thuận chuyển nhượng.</w:t>
      </w:r>
    </w:p>
    <w:p w14:paraId="52A5DB16"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5. Việc quản lý, cập nhật, giám sát và công khai thông tin chỉ tiêu sau chuyển nhượng thực hiện theo Phụ lục V ban hành kèm theo Nghị quyết này.</w:t>
      </w:r>
    </w:p>
    <w:p w14:paraId="3FD2AF23"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11. Tổ chức thực hiện</w:t>
      </w:r>
    </w:p>
    <w:p w14:paraId="1095AAE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1. Ủy ban nhân dân Thành phố tổ chức thực hiện Nghị quyết này; ban hành hoặc phê duyệt các hướng dẫn kỹ thuật, hệ số, định mức, cơ sở tính, bảng giá, biểu mẫu và danh mục dữ liệu cần thiết để thực hiện các Phụ lục kèm theo Nghị quyết.</w:t>
      </w:r>
    </w:p>
    <w:p w14:paraId="58C9596C"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2. Ủy ban nhân dân Thành phố có trách nhiệm:</w:t>
      </w:r>
    </w:p>
    <w:p w14:paraId="3F785C5A"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a) Xác định và công bố sức chứa, hạn ngạch được phép chuyển nhượng đối với từng khu vực TOD và từng giai đoạn;</w:t>
      </w:r>
    </w:p>
    <w:p w14:paraId="077BB38D"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b) Tổ chức xây dựng và cập nhật Chương trình TDR cho toàn Thành phố, vận hành Sổ chỉ tiêu quy hoạch TOD và hệ thống cơ sở dữ liệu dùng chung;</w:t>
      </w:r>
    </w:p>
    <w:p w14:paraId="2FA3ED4F"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c) Công bố định kỳ hoặc cho phép tra cứu trực tuyến hạn ngạch đã sử dụng, hạn ngạch còn lại và danh mục khu vực có khả năng cho, nhận chỉ tiêu;</w:t>
      </w:r>
    </w:p>
    <w:p w14:paraId="3ED3B54F"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d) Tổ chức kiểm tra, thanh tra và xử lý các trường hợp sử dụng chỉ tiêu không đúng quy định;</w:t>
      </w:r>
    </w:p>
    <w:p w14:paraId="5ADF67B9"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đ) Báo cáo Hội đồng nhân dân Thành phố định kỳ hằng năm về tình hình thực hiện Nghị quyết.</w:t>
      </w:r>
    </w:p>
    <w:p w14:paraId="479AFDBF"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3. Hội đồng nhân dân Thành phố, các Ban của Hội đồng nhân dân Thành phố, Tổ đại biểu và đại biểu Hội đồng nhân dân Thành phố giám sát việc thực hiện Nghị quyết.</w:t>
      </w:r>
    </w:p>
    <w:p w14:paraId="2005648D" w14:textId="77777777" w:rsidR="00AB40C8" w:rsidRPr="007D05B1" w:rsidRDefault="00AB40C8" w:rsidP="003F6925">
      <w:pPr>
        <w:keepNext/>
        <w:tabs>
          <w:tab w:val="left" w:pos="851"/>
        </w:tabs>
        <w:spacing w:before="60" w:after="60" w:line="276" w:lineRule="auto"/>
        <w:ind w:firstLine="720"/>
        <w:jc w:val="both"/>
        <w:rPr>
          <w:rFonts w:ascii="Times New Roman" w:eastAsia="Times New Roman" w:hAnsi="Times New Roman"/>
          <w:b/>
          <w:bCs/>
          <w:sz w:val="26"/>
          <w:szCs w:val="26"/>
          <w:lang w:val="en"/>
        </w:rPr>
      </w:pPr>
      <w:r w:rsidRPr="007D05B1">
        <w:rPr>
          <w:rFonts w:ascii="Times New Roman" w:eastAsia="Times New Roman" w:hAnsi="Times New Roman"/>
          <w:b/>
          <w:bCs/>
          <w:sz w:val="26"/>
          <w:szCs w:val="26"/>
          <w:lang w:val="en"/>
        </w:rPr>
        <w:t>Điều 12. Điều khoản chuyển tiếp và hiệu lực thi hành</w:t>
      </w:r>
    </w:p>
    <w:p w14:paraId="09EF38BD" w14:textId="77777777" w:rsidR="00AB40C8" w:rsidRPr="007D05B1" w:rsidRDefault="00C02137"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1. </w:t>
      </w:r>
      <w:r w:rsidR="00AB40C8" w:rsidRPr="007D05B1">
        <w:rPr>
          <w:rFonts w:ascii="Times New Roman" w:eastAsia="Times New Roman" w:hAnsi="Times New Roman"/>
          <w:sz w:val="26"/>
          <w:szCs w:val="26"/>
          <w:lang w:val="en"/>
        </w:rPr>
        <w:t>Nghị quyết này có hiệu lực từ ngày … tháng … năm ….</w:t>
      </w:r>
    </w:p>
    <w:p w14:paraId="39605106" w14:textId="77777777" w:rsidR="00AB40C8" w:rsidRPr="007D05B1" w:rsidRDefault="00C02137"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2. </w:t>
      </w:r>
      <w:r w:rsidR="00AB40C8" w:rsidRPr="007D05B1">
        <w:rPr>
          <w:rFonts w:ascii="Times New Roman" w:eastAsia="Times New Roman" w:hAnsi="Times New Roman"/>
          <w:sz w:val="26"/>
          <w:szCs w:val="26"/>
          <w:lang w:val="en"/>
        </w:rPr>
        <w:t xml:space="preserve">Đối với dự án đã được chấp thuận chỉ tiêu quy hoạch trước ngày Nghị quyết này có hiệu lực thì tiếp tục thực hiện theo quyết định đã được ban hành; trường hợp đề nghị tăng </w:t>
      </w:r>
      <w:r w:rsidR="00AB40C8" w:rsidRPr="007D05B1">
        <w:rPr>
          <w:rFonts w:ascii="Times New Roman" w:eastAsia="Times New Roman" w:hAnsi="Times New Roman"/>
          <w:sz w:val="26"/>
          <w:szCs w:val="26"/>
          <w:lang w:val="en"/>
        </w:rPr>
        <w:lastRenderedPageBreak/>
        <w:t>thêm chỉ tiêu sau thời điểm Nghị quyết có hiệu lực thì phần tăng thêm thực hiện theo Nghị quyết này.</w:t>
      </w:r>
    </w:p>
    <w:p w14:paraId="3F112D05" w14:textId="77777777" w:rsidR="00AB40C8" w:rsidRPr="007D05B1" w:rsidRDefault="00C02137"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3. </w:t>
      </w:r>
      <w:r w:rsidR="00AB40C8" w:rsidRPr="007D05B1">
        <w:rPr>
          <w:rFonts w:ascii="Times New Roman" w:eastAsia="Times New Roman" w:hAnsi="Times New Roman"/>
          <w:sz w:val="26"/>
          <w:szCs w:val="26"/>
          <w:lang w:val="en"/>
        </w:rPr>
        <w:t>Trường hợp văn bản quy phạm pháp luật được viện dẫn tại Nghị quyết này được sửa đổi, bổ sung hoặc thay thế thì áp dụng văn bản sửa đổi, bổ sung hoặc thay thế.</w:t>
      </w:r>
    </w:p>
    <w:p w14:paraId="10F8EA7E" w14:textId="77777777" w:rsidR="00AB40C8" w:rsidRPr="007D05B1" w:rsidRDefault="00C02137"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4. </w:t>
      </w:r>
      <w:r w:rsidR="00AB40C8" w:rsidRPr="007D05B1">
        <w:rPr>
          <w:rFonts w:ascii="Times New Roman" w:eastAsia="Times New Roman" w:hAnsi="Times New Roman"/>
          <w:sz w:val="26"/>
          <w:szCs w:val="26"/>
          <w:lang w:val="en"/>
        </w:rPr>
        <w:t>Trường hợp pháp luật được ban hành sau ngày Nghị quyết này có hiệu lực có quy định về chuyển nhượng chỉ tiêu quy hoạch khác với Nghị quyết này thì thực hiện theo quy định của văn bản có hiệu lực pháp lý cao hơn và các quy định chuyển tiếp có liên quan.</w:t>
      </w:r>
    </w:p>
    <w:p w14:paraId="384896CD" w14:textId="77777777" w:rsidR="00AB40C8" w:rsidRPr="007D05B1" w:rsidRDefault="00C02137" w:rsidP="003F6925">
      <w:pPr>
        <w:tabs>
          <w:tab w:val="left" w:pos="851"/>
        </w:tabs>
        <w:spacing w:before="60" w:after="60" w:line="276" w:lineRule="auto"/>
        <w:ind w:firstLine="720"/>
        <w:jc w:val="both"/>
        <w:rPr>
          <w:rFonts w:ascii="Times New Roman" w:eastAsia="Times New Roman" w:hAnsi="Times New Roman"/>
          <w:sz w:val="26"/>
          <w:szCs w:val="26"/>
          <w:lang w:val="en"/>
        </w:rPr>
      </w:pPr>
      <w:r w:rsidRPr="007D05B1">
        <w:rPr>
          <w:rFonts w:ascii="Times New Roman" w:eastAsia="Times New Roman" w:hAnsi="Times New Roman"/>
          <w:sz w:val="26"/>
          <w:szCs w:val="26"/>
          <w:lang w:val="en"/>
        </w:rPr>
        <w:t xml:space="preserve">5. </w:t>
      </w:r>
      <w:r w:rsidR="00AB40C8" w:rsidRPr="007D05B1">
        <w:rPr>
          <w:rFonts w:ascii="Times New Roman" w:eastAsia="Times New Roman" w:hAnsi="Times New Roman"/>
          <w:sz w:val="26"/>
          <w:szCs w:val="26"/>
          <w:lang w:val="en"/>
        </w:rPr>
        <w:t>Trong quá trình thực hiện, trường hợp phát sinh khó khăn, vướng mắc, Ủy ban nhân dân Thành phố tổng hợp, báo cáo Hội đồng nhân dân Thành phố xem xét, quyết định theo thẩm quyền.</w:t>
      </w:r>
    </w:p>
    <w:p w14:paraId="53CE04B2" w14:textId="77777777" w:rsidR="00AB40C8" w:rsidRPr="007D05B1" w:rsidRDefault="00AB40C8" w:rsidP="003F6925">
      <w:pPr>
        <w:tabs>
          <w:tab w:val="left" w:pos="851"/>
        </w:tabs>
        <w:spacing w:before="60" w:after="60" w:line="276" w:lineRule="auto"/>
        <w:ind w:firstLine="720"/>
        <w:jc w:val="both"/>
        <w:rPr>
          <w:rFonts w:ascii="Times New Roman" w:eastAsia="Times New Roman" w:hAnsi="Times New Roman"/>
          <w:i/>
          <w:iCs/>
          <w:sz w:val="26"/>
          <w:szCs w:val="26"/>
          <w:lang w:val="en"/>
        </w:rPr>
      </w:pPr>
      <w:r w:rsidRPr="007D05B1">
        <w:rPr>
          <w:rFonts w:ascii="Times New Roman" w:eastAsia="Times New Roman" w:hAnsi="Times New Roman"/>
          <w:i/>
          <w:iCs/>
          <w:sz w:val="26"/>
          <w:szCs w:val="26"/>
          <w:lang w:val="en"/>
        </w:rPr>
        <w:t>Nghị quyết này đã được Hội đồng nhân dân Thành phố Hồ Chí Minh khóa …, Kỳ họp thứ … thông qua ngày … tháng … năm …./.</w:t>
      </w:r>
    </w:p>
    <w:p w14:paraId="219712C8" w14:textId="77777777" w:rsidR="00143735" w:rsidRPr="007D05B1" w:rsidRDefault="00143735" w:rsidP="00AB40C8">
      <w:pPr>
        <w:tabs>
          <w:tab w:val="left" w:pos="851"/>
        </w:tabs>
        <w:spacing w:before="60" w:after="60" w:line="276" w:lineRule="auto"/>
        <w:ind w:firstLine="720"/>
        <w:jc w:val="both"/>
        <w:rPr>
          <w:rFonts w:ascii="Times New Roman" w:eastAsia="Times New Roman" w:hAnsi="Times New Roman"/>
          <w:i/>
          <w:iCs/>
          <w:sz w:val="26"/>
          <w:szCs w:val="26"/>
          <w:lang w:val="en"/>
        </w:rPr>
      </w:pPr>
    </w:p>
    <w:tbl>
      <w:tblPr>
        <w:tblW w:w="9576" w:type="dxa"/>
        <w:tblInd w:w="-108" w:type="dxa"/>
        <w:tblBorders>
          <w:top w:val="nil"/>
          <w:left w:val="nil"/>
          <w:bottom w:val="nil"/>
          <w:right w:val="nil"/>
          <w:insideH w:val="nil"/>
          <w:insideV w:val="nil"/>
        </w:tblBorders>
        <w:tblLayout w:type="fixed"/>
        <w:tblLook w:val="0000" w:firstRow="0" w:lastRow="0" w:firstColumn="0" w:lastColumn="0" w:noHBand="0" w:noVBand="0"/>
      </w:tblPr>
      <w:tblGrid>
        <w:gridCol w:w="4788"/>
        <w:gridCol w:w="4788"/>
      </w:tblGrid>
      <w:tr w:rsidR="00143735" w:rsidRPr="003B455C" w14:paraId="7B5DF34C" w14:textId="77777777" w:rsidTr="00AE36B5">
        <w:tc>
          <w:tcPr>
            <w:tcW w:w="4788" w:type="dxa"/>
            <w:tcBorders>
              <w:top w:val="nil"/>
              <w:left w:val="nil"/>
              <w:bottom w:val="nil"/>
              <w:right w:val="nil"/>
            </w:tcBorders>
            <w:tcMar>
              <w:top w:w="0" w:type="dxa"/>
              <w:left w:w="108" w:type="dxa"/>
              <w:bottom w:w="0" w:type="dxa"/>
              <w:right w:w="108" w:type="dxa"/>
            </w:tcMar>
          </w:tcPr>
          <w:p w14:paraId="3BB84EA2"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b/>
                <w:bCs/>
                <w:i/>
                <w:iCs/>
                <w:lang w:val="en"/>
              </w:rPr>
              <w:br/>
            </w:r>
            <w:r w:rsidRPr="003B455C">
              <w:rPr>
                <w:rFonts w:ascii="Times New Roman" w:eastAsia="Times New Roman" w:hAnsi="Times New Roman"/>
                <w:b/>
                <w:bCs/>
                <w:i/>
                <w:iCs/>
                <w:sz w:val="24"/>
                <w:szCs w:val="24"/>
                <w:lang w:val="en"/>
              </w:rPr>
              <w:t>Nơi nhận:</w:t>
            </w:r>
            <w:r w:rsidRPr="003B455C">
              <w:rPr>
                <w:rFonts w:ascii="Times New Roman" w:eastAsia="Times New Roman" w:hAnsi="Times New Roman"/>
                <w:b/>
                <w:bCs/>
                <w:i/>
                <w:iCs/>
                <w:lang w:val="en"/>
              </w:rPr>
              <w:br/>
            </w:r>
            <w:r w:rsidRPr="003B455C">
              <w:rPr>
                <w:rFonts w:ascii="Times New Roman" w:eastAsia="Times New Roman" w:hAnsi="Times New Roman"/>
                <w:lang w:val="en"/>
              </w:rPr>
              <w:t>- Ủy ban Thường vụ Quốc hội;</w:t>
            </w:r>
          </w:p>
          <w:p w14:paraId="28AD7DBC"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Văn phòng: Quốc hội, Chính phủ;</w:t>
            </w:r>
          </w:p>
          <w:p w14:paraId="22BD69D1"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Các Bộ: Xây dựng, Nông nghiệp và Môi trường;</w:t>
            </w:r>
          </w:p>
          <w:p w14:paraId="57914C91" w14:textId="078920E4"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Cục Kiểm tra văn bản và Tổ chức thi hành pháp luật - Bộ Tư pháp;</w:t>
            </w:r>
          </w:p>
          <w:p w14:paraId="7C33481D"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Thường trực Thành ủy;</w:t>
            </w:r>
          </w:p>
          <w:p w14:paraId="566280E3"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Đoàn đại biểu Quốc hội Thành phố; </w:t>
            </w:r>
          </w:p>
          <w:p w14:paraId="1BF76427"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Thường trực HĐND, UBND Thành phố; </w:t>
            </w:r>
          </w:p>
          <w:p w14:paraId="7CC9DDEB"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Ban Thường trực UBMTTQVN Thành phố; </w:t>
            </w:r>
          </w:p>
          <w:p w14:paraId="67537196"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Đại biểu HĐND Thành phố; </w:t>
            </w:r>
          </w:p>
          <w:p w14:paraId="07397305"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Ban Đô thị HĐND Thành phố; </w:t>
            </w:r>
          </w:p>
          <w:p w14:paraId="41FE2D08"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Ban Pháp chế HĐND Thành phố;</w:t>
            </w:r>
          </w:p>
          <w:p w14:paraId="4F1257CF"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Văn phòng: Thành ủy, Đoàn ĐBQH và HĐND, UBND Thành phố; </w:t>
            </w:r>
          </w:p>
          <w:p w14:paraId="0DBF7A1E"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Sở Tư pháp;</w:t>
            </w:r>
          </w:p>
          <w:p w14:paraId="05BC832E"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Các Sở, ban, ngành Thành phố; </w:t>
            </w:r>
          </w:p>
          <w:p w14:paraId="2C012A9E"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xml:space="preserve">- Thường trực HĐND, UBND cấp xã; </w:t>
            </w:r>
          </w:p>
          <w:p w14:paraId="43CCBE00" w14:textId="77777777" w:rsidR="00143735" w:rsidRPr="003B455C" w:rsidRDefault="00143735" w:rsidP="00AE36B5">
            <w:pPr>
              <w:spacing w:after="0" w:line="240" w:lineRule="auto"/>
              <w:rPr>
                <w:rFonts w:ascii="Times New Roman" w:eastAsia="Times New Roman" w:hAnsi="Times New Roman"/>
                <w:lang w:val="en"/>
              </w:rPr>
            </w:pPr>
            <w:r w:rsidRPr="003B455C">
              <w:rPr>
                <w:rFonts w:ascii="Times New Roman" w:eastAsia="Times New Roman" w:hAnsi="Times New Roman"/>
                <w:lang w:val="en"/>
              </w:rPr>
              <w:t>- Trung tâm Thông tin điện tử Thành phố;</w:t>
            </w:r>
          </w:p>
          <w:p w14:paraId="20A1CE3C" w14:textId="5E964428" w:rsidR="00143735" w:rsidRPr="003B455C" w:rsidRDefault="003B455C" w:rsidP="003B455C">
            <w:pPr>
              <w:spacing w:after="0" w:line="240" w:lineRule="auto"/>
              <w:rPr>
                <w:rFonts w:ascii="Times New Roman" w:eastAsia="Times New Roman" w:hAnsi="Times New Roman"/>
                <w:lang w:val="en"/>
              </w:rPr>
            </w:pPr>
            <w:r>
              <w:rPr>
                <w:rFonts w:ascii="Times New Roman" w:eastAsia="Times New Roman" w:hAnsi="Times New Roman"/>
                <w:lang w:val="en"/>
              </w:rPr>
              <w:t xml:space="preserve"> - Lưu: VT, SQHKT, VPĐBHĐNDTP.</w:t>
            </w:r>
          </w:p>
        </w:tc>
        <w:tc>
          <w:tcPr>
            <w:tcW w:w="4788" w:type="dxa"/>
            <w:tcBorders>
              <w:top w:val="nil"/>
              <w:left w:val="nil"/>
              <w:bottom w:val="nil"/>
              <w:right w:val="nil"/>
            </w:tcBorders>
            <w:tcMar>
              <w:top w:w="0" w:type="dxa"/>
              <w:left w:w="108" w:type="dxa"/>
              <w:bottom w:w="0" w:type="dxa"/>
              <w:right w:w="108" w:type="dxa"/>
            </w:tcMar>
          </w:tcPr>
          <w:p w14:paraId="7A718B2A" w14:textId="77777777" w:rsidR="00143735" w:rsidRPr="003B455C" w:rsidRDefault="00143735" w:rsidP="00AE36B5">
            <w:pPr>
              <w:spacing w:after="0" w:line="240" w:lineRule="auto"/>
              <w:jc w:val="center"/>
              <w:rPr>
                <w:rFonts w:ascii="Times New Roman" w:eastAsia="Times New Roman" w:hAnsi="Times New Roman"/>
                <w:lang w:val="en"/>
              </w:rPr>
            </w:pPr>
          </w:p>
          <w:p w14:paraId="70F4D360" w14:textId="77777777" w:rsidR="00143735" w:rsidRPr="003B455C" w:rsidRDefault="00143735" w:rsidP="00AE36B5">
            <w:pPr>
              <w:spacing w:after="0" w:line="240" w:lineRule="auto"/>
              <w:jc w:val="center"/>
              <w:rPr>
                <w:rFonts w:ascii="Times New Roman" w:eastAsia="Times New Roman" w:hAnsi="Times New Roman"/>
                <w:sz w:val="26"/>
                <w:szCs w:val="26"/>
                <w:lang w:val="en"/>
              </w:rPr>
            </w:pPr>
            <w:r w:rsidRPr="003B455C">
              <w:rPr>
                <w:rFonts w:ascii="Times New Roman" w:eastAsia="Times New Roman" w:hAnsi="Times New Roman"/>
                <w:b/>
                <w:bCs/>
                <w:sz w:val="26"/>
                <w:szCs w:val="26"/>
                <w:lang w:val="en"/>
              </w:rPr>
              <w:t>CHỦ TỊCH</w:t>
            </w:r>
            <w:r w:rsidRPr="003B455C">
              <w:rPr>
                <w:rFonts w:ascii="Times New Roman" w:eastAsia="Times New Roman" w:hAnsi="Times New Roman"/>
                <w:b/>
                <w:bCs/>
                <w:sz w:val="26"/>
                <w:szCs w:val="26"/>
                <w:lang w:val="en"/>
              </w:rPr>
              <w:br/>
            </w:r>
            <w:r w:rsidRPr="003B455C">
              <w:rPr>
                <w:rFonts w:ascii="Times New Roman" w:eastAsia="Times New Roman" w:hAnsi="Times New Roman"/>
                <w:b/>
                <w:bCs/>
                <w:sz w:val="26"/>
                <w:szCs w:val="26"/>
                <w:lang w:val="en"/>
              </w:rPr>
              <w:br/>
            </w:r>
            <w:r w:rsidRPr="003B455C">
              <w:rPr>
                <w:rFonts w:ascii="Times New Roman" w:eastAsia="Times New Roman" w:hAnsi="Times New Roman"/>
                <w:b/>
                <w:bCs/>
                <w:sz w:val="26"/>
                <w:szCs w:val="26"/>
                <w:lang w:val="en"/>
              </w:rPr>
              <w:br/>
            </w:r>
            <w:r w:rsidRPr="003B455C">
              <w:rPr>
                <w:rFonts w:ascii="Times New Roman" w:eastAsia="Times New Roman" w:hAnsi="Times New Roman"/>
                <w:b/>
                <w:bCs/>
                <w:sz w:val="26"/>
                <w:szCs w:val="26"/>
                <w:lang w:val="en"/>
              </w:rPr>
              <w:br/>
            </w:r>
            <w:r w:rsidRPr="003B455C">
              <w:rPr>
                <w:rFonts w:ascii="Times New Roman" w:eastAsia="Times New Roman" w:hAnsi="Times New Roman"/>
                <w:b/>
                <w:bCs/>
                <w:sz w:val="26"/>
                <w:szCs w:val="26"/>
                <w:lang w:val="en"/>
              </w:rPr>
              <w:br/>
              <w:t>Võ Văn Minh</w:t>
            </w:r>
          </w:p>
        </w:tc>
      </w:tr>
    </w:tbl>
    <w:p w14:paraId="5E4B9A53" w14:textId="77777777" w:rsidR="00143735" w:rsidRPr="007D05B1" w:rsidRDefault="00143735" w:rsidP="00AB40C8">
      <w:pPr>
        <w:tabs>
          <w:tab w:val="left" w:pos="851"/>
        </w:tabs>
        <w:spacing w:before="60" w:after="60" w:line="276" w:lineRule="auto"/>
        <w:ind w:firstLine="720"/>
        <w:jc w:val="both"/>
        <w:rPr>
          <w:rFonts w:ascii="Times New Roman" w:eastAsia="Times New Roman" w:hAnsi="Times New Roman"/>
          <w:i/>
          <w:iCs/>
          <w:sz w:val="26"/>
          <w:szCs w:val="26"/>
          <w:lang w:val="en"/>
        </w:rPr>
      </w:pPr>
    </w:p>
    <w:p w14:paraId="156C5BC4" w14:textId="77777777" w:rsidR="00AB40C8" w:rsidRPr="007D05B1" w:rsidRDefault="00AB40C8">
      <w:pPr>
        <w:spacing w:after="0" w:line="240" w:lineRule="auto"/>
        <w:rPr>
          <w:rFonts w:ascii="Times New Roman" w:eastAsia="Times New Roman" w:hAnsi="Times New Roman"/>
          <w:i/>
          <w:sz w:val="26"/>
          <w:szCs w:val="26"/>
        </w:rPr>
      </w:pPr>
    </w:p>
    <w:p w14:paraId="79091A1C" w14:textId="77777777" w:rsidR="00A11355" w:rsidRPr="007D05B1" w:rsidRDefault="00A11355" w:rsidP="00682AB6">
      <w:pPr>
        <w:spacing w:before="60" w:after="60" w:line="276" w:lineRule="auto"/>
        <w:ind w:firstLine="720"/>
        <w:jc w:val="both"/>
        <w:rPr>
          <w:rFonts w:ascii="Times New Roman" w:eastAsia="Times New Roman" w:hAnsi="Times New Roman"/>
          <w:i/>
          <w:sz w:val="26"/>
          <w:szCs w:val="26"/>
        </w:rPr>
      </w:pPr>
    </w:p>
    <w:p w14:paraId="6D3B8EF1" w14:textId="77578A81" w:rsidR="003B455C" w:rsidRDefault="003B455C">
      <w:pPr>
        <w:spacing w:after="0" w:line="240" w:lineRule="auto"/>
        <w:rPr>
          <w:rFonts w:ascii="Times New Roman" w:eastAsia="Times New Roman" w:hAnsi="Times New Roman"/>
          <w:sz w:val="26"/>
          <w:szCs w:val="26"/>
          <w:lang w:val="en"/>
        </w:rPr>
      </w:pPr>
      <w:r>
        <w:rPr>
          <w:rFonts w:ascii="Times New Roman" w:eastAsia="Times New Roman" w:hAnsi="Times New Roman"/>
          <w:sz w:val="26"/>
          <w:szCs w:val="26"/>
          <w:lang w:val="en"/>
        </w:rPr>
        <w:br w:type="page"/>
      </w:r>
    </w:p>
    <w:p w14:paraId="46F9D7B3" w14:textId="77777777" w:rsidR="00143735" w:rsidRPr="007D05B1" w:rsidRDefault="00143735" w:rsidP="003B455C">
      <w:pPr>
        <w:keepNext/>
        <w:spacing w:before="60" w:after="60" w:line="276" w:lineRule="auto"/>
        <w:ind w:hanging="9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lastRenderedPageBreak/>
        <w:t>PHỤ LỤC I</w:t>
      </w:r>
    </w:p>
    <w:p w14:paraId="79D4BA4D" w14:textId="77777777" w:rsidR="00143735" w:rsidRPr="007D05B1" w:rsidRDefault="00143735" w:rsidP="00143735">
      <w:pPr>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PHƯƠNG PHÁP XÁC ĐỊNH SỨC CHỨA PHÁT TRIỂN TĂNG THÊM VÀ HẠN NGẠCH CHỈ TIÊU ĐƯỢC PHÉP CHUYỂN NHƯỢNG</w:t>
      </w:r>
    </w:p>
    <w:p w14:paraId="70FC18BA" w14:textId="77777777" w:rsidR="00143735" w:rsidRPr="007D05B1" w:rsidRDefault="00143735" w:rsidP="00143735">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i/>
          <w:iCs/>
          <w:sz w:val="26"/>
          <w:szCs w:val="26"/>
        </w:rPr>
        <w:t>(Ban hành kèm theo Nghị quyết số …/2026/NQ-HĐND ngày … tháng … năm 2026 của Hội đồng nhân dân Thành phố Hồ Chí Minh)</w:t>
      </w:r>
    </w:p>
    <w:p w14:paraId="124D820C"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 Nguyên tắc chung</w:t>
      </w:r>
    </w:p>
    <w:p w14:paraId="4282BE2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Sức chứa phát triển tăng thêm phải được xác định cho toàn bộ khu vực TOD trước khi xác định hạn ngạch được phép phân bổ hoặc chuyển nhượng.</w:t>
      </w:r>
      <w:r w:rsidR="001E4870" w:rsidRPr="007D05B1">
        <w:rPr>
          <w:rFonts w:ascii="Times New Roman" w:eastAsia="Times New Roman" w:hAnsi="Times New Roman"/>
          <w:sz w:val="26"/>
          <w:szCs w:val="26"/>
        </w:rPr>
        <w:t xml:space="preserve"> </w:t>
      </w:r>
      <w:r w:rsidRPr="007D05B1">
        <w:rPr>
          <w:rFonts w:ascii="Times New Roman" w:eastAsia="Times New Roman" w:hAnsi="Times New Roman"/>
          <w:sz w:val="26"/>
          <w:szCs w:val="26"/>
        </w:rPr>
        <w:t>Việc xác định sức chứa phải đồng thời dựa trên các nhóm điều kiện sau:</w:t>
      </w:r>
    </w:p>
    <w:p w14:paraId="2CC6D0E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Giao thông;</w:t>
      </w:r>
    </w:p>
    <w:p w14:paraId="6249718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Hạ tầng xã hội;</w:t>
      </w:r>
    </w:p>
    <w:p w14:paraId="3696388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Hạ tầng kỹ thuật;</w:t>
      </w:r>
    </w:p>
    <w:p w14:paraId="3C03EBD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Không gian, môi trường và các giới hạn quy hoạch khác;</w:t>
      </w:r>
    </w:p>
    <w:p w14:paraId="7D7A50B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Khả năng đáp ứng cụ thể tại khu vực nhận;</w:t>
      </w:r>
    </w:p>
    <w:p w14:paraId="5876971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 Các quy định kiểm soát phát triển theo lĩnh vực có liên quan.</w:t>
      </w:r>
    </w:p>
    <w:p w14:paraId="588FA39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Sức chứa được xác định theo nguyên tắc lấy giới hạn thấp nhất. Nhóm hạ tầng hoặc điều kiện có khả năng đáp ứng thấp nhất là cơ sở xác định mức phát triển tăng thêm tối đa.</w:t>
      </w:r>
    </w:p>
    <w:p w14:paraId="1983242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1.4. Sức chứa được rà soát khi có một trong các trường hợp sau:</w:t>
      </w:r>
    </w:p>
    <w:p w14:paraId="570EDFA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Đưa vào khai thác tuyến hoặc nhà ga giao thông công cộng mới;</w:t>
      </w:r>
    </w:p>
    <w:p w14:paraId="70A6202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Hoàn thành công trình hạ tầng làm tăng đáng kể năng lực phục vụ;</w:t>
      </w:r>
    </w:p>
    <w:p w14:paraId="302CF50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Có biến động lớn về dân số, nhu cầu đi lại hoặc cơ cấu sử dụng đất;</w:t>
      </w:r>
    </w:p>
    <w:p w14:paraId="47C1CF0F"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Điều chỉnh quy hoạch khu vực TOD;</w:t>
      </w:r>
    </w:p>
    <w:p w14:paraId="71315C6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Trước khi xác định hạn ngạch cho giai đoạn phát triển tiếp theo.</w:t>
      </w:r>
    </w:p>
    <w:p w14:paraId="0DB288C1"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2. Dữ liệu đầu vào</w:t>
      </w:r>
    </w:p>
    <w:p w14:paraId="1535038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Dữ liệu tối thiểu phục vụ xác định sức chứa bao gồm:</w:t>
      </w:r>
    </w:p>
    <w:p w14:paraId="2DD5C483"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Hiện trạng và dự báo dân số;</w:t>
      </w:r>
    </w:p>
    <w:p w14:paraId="7CE0A755"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Diện tích sàn hiện hữu theo chức năng;</w:t>
      </w:r>
    </w:p>
    <w:p w14:paraId="51806E99"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Diện tích sàn của các dự án đã được chấp thuận nhưng chưa hoàn thành;</w:t>
      </w:r>
    </w:p>
    <w:p w14:paraId="471FD433"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Mạng lưới đường bộ, giao thông công cộng, đi bộ và xe đạp;</w:t>
      </w:r>
    </w:p>
    <w:p w14:paraId="2B1C8298"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 Công suất các tuyến đường sắt đô thị, xe buýt và các phương tiện giao thông công cộng khác;</w:t>
      </w:r>
    </w:p>
    <w:p w14:paraId="7FCAC16E"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 Dữ liệu giao thông giờ cao điểm;</w:t>
      </w:r>
    </w:p>
    <w:p w14:paraId="206B8C5A"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 Quỹ đất và công suất hạ tầng xã hội;</w:t>
      </w:r>
    </w:p>
    <w:p w14:paraId="58F4280B"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 Công suất hạ tầng kỹ thuật;</w:t>
      </w:r>
    </w:p>
    <w:p w14:paraId="29B1158C"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i) Các dự án hạ tầng đã được bố trí nguồn lực và có kế hoạch thực hiện;</w:t>
      </w:r>
    </w:p>
    <w:p w14:paraId="099476C0"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j) Các ràng buộc về môi trường, di sản, phòng, chống thiên tai và các ràng buộc khác.</w:t>
      </w:r>
    </w:p>
    <w:p w14:paraId="1F9C63E4"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3. Đánh giá sức chứa giao thông</w:t>
      </w:r>
    </w:p>
    <w:p w14:paraId="4DB0E7E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3.1. Kịch bản đánh giá</w:t>
      </w:r>
    </w:p>
    <w:p w14:paraId="16BCC2F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Tối thiểu phải đánh giá các kịch bản sau:</w:t>
      </w:r>
    </w:p>
    <w:p w14:paraId="628F320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Kịch bản nền không có phần diện tích sàn tăng thêm;</w:t>
      </w:r>
    </w:p>
    <w:p w14:paraId="2A7E086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Kịch bản có toàn bộ phần diện tích sàn tăng thêm dự kiến;</w:t>
      </w:r>
    </w:p>
    <w:p w14:paraId="401578E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Kịch bản theo từng giai đoạn triển khai trong trường hợp quy mô phát triển được phân kỳ.</w:t>
      </w:r>
    </w:p>
    <w:p w14:paraId="12CB870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3.2. Phạm vi đánh giá</w:t>
      </w:r>
    </w:p>
    <w:p w14:paraId="2507632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Phạm vi đánh giá bao gồm:</w:t>
      </w:r>
    </w:p>
    <w:p w14:paraId="277443B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Các tuyến đường chính phục vụ khu vực TOD;</w:t>
      </w:r>
    </w:p>
    <w:p w14:paraId="3257585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Các nút giao có khả năng chịu tác động đáng kể;</w:t>
      </w:r>
    </w:p>
    <w:p w14:paraId="5BE4E1A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Các điểm tiếp cận nhà ga;</w:t>
      </w:r>
    </w:p>
    <w:p w14:paraId="76B20B5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Các tuyến giao thông công cộng;</w:t>
      </w:r>
    </w:p>
    <w:p w14:paraId="276A584F"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Phạm vi ảnh hưởng khác do cơ quan chuyên môn xác định.</w:t>
      </w:r>
    </w:p>
    <w:p w14:paraId="35CA95A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3.3. Chỉ tiêu đánh giá</w:t>
      </w:r>
    </w:p>
    <w:p w14:paraId="37DC286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Việc đánh giá không chỉ dựa trên khả năng thông hành của xe cơ giới mà phải xem xét đồng thời:</w:t>
      </w:r>
    </w:p>
    <w:p w14:paraId="140686C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Năng lực vận chuyển hành khách của hệ thống giao thông công cộng;</w:t>
      </w:r>
    </w:p>
    <w:p w14:paraId="596D633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Mức độ phục vụ của đường và nút giao;</w:t>
      </w:r>
    </w:p>
    <w:p w14:paraId="54836C6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Khả năng tiếp cận nhà ga bằng đi bộ và xe đạp;</w:t>
      </w:r>
    </w:p>
    <w:p w14:paraId="50E1785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Năng lực trung chuyển;</w:t>
      </w:r>
    </w:p>
    <w:p w14:paraId="74D276C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Tỷ lệ sử dụng giao thông công cộng;</w:t>
      </w:r>
    </w:p>
    <w:p w14:paraId="49245E1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 Khả năng tổ chức giao thông trong giờ cao điểm.</w:t>
      </w:r>
    </w:p>
    <w:p w14:paraId="133AFE2A" w14:textId="6FC5C77F"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3.4. Mức</w:t>
      </w:r>
      <w:r w:rsidR="004A33CF" w:rsidRPr="007D05B1">
        <w:rPr>
          <w:rFonts w:ascii="Times New Roman" w:eastAsia="Times New Roman" w:hAnsi="Times New Roman"/>
          <w:b/>
          <w:bCs/>
          <w:sz w:val="26"/>
          <w:szCs w:val="26"/>
        </w:rPr>
        <w:t xml:space="preserve"> </w:t>
      </w:r>
      <w:r w:rsidR="004A33CF" w:rsidRPr="007D05B1">
        <w:rPr>
          <w:rFonts w:ascii="Times New Roman" w:eastAsia="Times New Roman" w:hAnsi="Times New Roman"/>
          <w:b/>
          <w:bCs/>
          <w:sz w:val="26"/>
          <w:szCs w:val="26"/>
          <w:lang w:val="vi-VN"/>
        </w:rPr>
        <w:t>độ</w:t>
      </w:r>
      <w:r w:rsidRPr="007D05B1">
        <w:rPr>
          <w:rFonts w:ascii="Times New Roman" w:eastAsia="Times New Roman" w:hAnsi="Times New Roman"/>
          <w:b/>
          <w:bCs/>
          <w:sz w:val="26"/>
          <w:szCs w:val="26"/>
        </w:rPr>
        <w:t xml:space="preserve"> phục vụ</w:t>
      </w:r>
    </w:p>
    <w:p w14:paraId="59354841" w14:textId="0741379D"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Đối với các tuyến đường và nút giao chính, mức độ phục vụ (LOS) sau khi bổ sung diện tích sàn không thấp hơn mức D</w:t>
      </w:r>
      <w:r w:rsidR="004A33CF" w:rsidRPr="007D05B1">
        <w:rPr>
          <w:rFonts w:ascii="Times New Roman" w:eastAsia="Times New Roman" w:hAnsi="Times New Roman"/>
          <w:sz w:val="26"/>
          <w:szCs w:val="26"/>
          <w:lang w:val="vi-VN"/>
        </w:rPr>
        <w:t xml:space="preserve"> (theo quy chuẩn Quy hoạch 2026)</w:t>
      </w:r>
      <w:r w:rsidRPr="007D05B1">
        <w:rPr>
          <w:rFonts w:ascii="Times New Roman" w:eastAsia="Times New Roman" w:hAnsi="Times New Roman"/>
          <w:sz w:val="26"/>
          <w:szCs w:val="26"/>
        </w:rPr>
        <w:t>.</w:t>
      </w:r>
    </w:p>
    <w:p w14:paraId="6C21CBE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khu vực có tỷ lệ sử dụng giao thông công cộng cao hoặc áp dụng biện pháp quản lý nhu cầu giao thông, cơ quan thẩm định có thể sử dụng thêm các chỉ tiêu về khả năng vận chuyển hành khách, thời gian hành trình, khả năng tiếp cận và các chỉ tiêu phù hợp khác để đánh giá.</w:t>
      </w:r>
    </w:p>
    <w:p w14:paraId="6797C15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3.5. Sức chứa giao thông tăng thêm</w:t>
      </w:r>
    </w:p>
    <w:p w14:paraId="43E12CC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Sức chứa giao thông tăng thêm được quy đổi thành diện tích sàn phát triển tăng thêm tối đa theo từng nhóm chức năng sử dụng đất.</w:t>
      </w:r>
    </w:p>
    <w:p w14:paraId="30809A8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Có thể áp dụng công thức:</w:t>
      </w:r>
    </w:p>
    <w:p w14:paraId="50B4EFA7" w14:textId="77777777" w:rsidR="00143735" w:rsidRPr="007D05B1" w:rsidRDefault="00143735" w:rsidP="001E4870">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lastRenderedPageBreak/>
        <w:t>GFA</w:t>
      </w:r>
      <w:r w:rsidRPr="007D05B1">
        <w:rPr>
          <w:rFonts w:ascii="Times New Roman" w:eastAsia="Times New Roman" w:hAnsi="Times New Roman"/>
          <w:b/>
          <w:bCs/>
          <w:sz w:val="26"/>
          <w:szCs w:val="26"/>
          <w:vertAlign w:val="subscript"/>
        </w:rPr>
        <w:t>T</w:t>
      </w:r>
      <w:r w:rsidRPr="007D05B1">
        <w:rPr>
          <w:rFonts w:ascii="Times New Roman" w:eastAsia="Times New Roman" w:hAnsi="Times New Roman"/>
          <w:b/>
          <w:bCs/>
          <w:sz w:val="26"/>
          <w:szCs w:val="26"/>
        </w:rPr>
        <w:t xml:space="preserve"> = </w:t>
      </w:r>
      <w:proofErr w:type="gramStart"/>
      <w:r w:rsidRPr="007D05B1">
        <w:rPr>
          <w:rFonts w:ascii="Times New Roman" w:eastAsia="Times New Roman" w:hAnsi="Times New Roman"/>
          <w:b/>
          <w:bCs/>
          <w:sz w:val="26"/>
          <w:szCs w:val="26"/>
        </w:rPr>
        <w:t>min(</w:t>
      </w:r>
      <w:proofErr w:type="gramEnd"/>
      <w:r w:rsidRPr="007D05B1">
        <w:rPr>
          <w:rFonts w:ascii="Times New Roman" w:eastAsia="Times New Roman" w:hAnsi="Times New Roman"/>
          <w:b/>
          <w:bCs/>
          <w:sz w:val="26"/>
          <w:szCs w:val="26"/>
        </w:rPr>
        <w:t>GFA</w:t>
      </w:r>
      <w:r w:rsidRPr="007D05B1">
        <w:rPr>
          <w:rFonts w:ascii="Times New Roman" w:eastAsia="Times New Roman" w:hAnsi="Times New Roman"/>
          <w:b/>
          <w:bCs/>
          <w:sz w:val="26"/>
          <w:szCs w:val="26"/>
          <w:vertAlign w:val="subscript"/>
        </w:rPr>
        <w:t>T1</w:t>
      </w:r>
      <w:r w:rsidRPr="007D05B1">
        <w:rPr>
          <w:rFonts w:ascii="Times New Roman" w:eastAsia="Times New Roman" w:hAnsi="Times New Roman"/>
          <w:b/>
          <w:bCs/>
          <w:sz w:val="26"/>
          <w:szCs w:val="26"/>
        </w:rPr>
        <w:t>, GFA</w:t>
      </w:r>
      <w:r w:rsidRPr="007D05B1">
        <w:rPr>
          <w:rFonts w:ascii="Times New Roman" w:eastAsia="Times New Roman" w:hAnsi="Times New Roman"/>
          <w:b/>
          <w:bCs/>
          <w:sz w:val="26"/>
          <w:szCs w:val="26"/>
          <w:vertAlign w:val="subscript"/>
        </w:rPr>
        <w:t>T2</w:t>
      </w:r>
      <w:r w:rsidRPr="007D05B1">
        <w:rPr>
          <w:rFonts w:ascii="Times New Roman" w:eastAsia="Times New Roman" w:hAnsi="Times New Roman"/>
          <w:b/>
          <w:bCs/>
          <w:sz w:val="26"/>
          <w:szCs w:val="26"/>
        </w:rPr>
        <w:t>, …, GFA</w:t>
      </w:r>
      <w:r w:rsidRPr="007D05B1">
        <w:rPr>
          <w:rFonts w:ascii="Times New Roman" w:eastAsia="Times New Roman" w:hAnsi="Times New Roman"/>
          <w:b/>
          <w:bCs/>
          <w:sz w:val="26"/>
          <w:szCs w:val="26"/>
          <w:vertAlign w:val="subscript"/>
        </w:rPr>
        <w:t>Tn</w:t>
      </w:r>
      <w:r w:rsidRPr="007D05B1">
        <w:rPr>
          <w:rFonts w:ascii="Times New Roman" w:eastAsia="Times New Roman" w:hAnsi="Times New Roman"/>
          <w:b/>
          <w:bCs/>
          <w:sz w:val="26"/>
          <w:szCs w:val="26"/>
        </w:rPr>
        <w:t>)</w:t>
      </w:r>
    </w:p>
    <w:p w14:paraId="485AC5D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Trong đó:</w:t>
      </w:r>
    </w:p>
    <w:p w14:paraId="5D659436"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T</w:t>
      </w:r>
      <w:r w:rsidRPr="007D05B1">
        <w:rPr>
          <w:rFonts w:ascii="Times New Roman" w:eastAsia="Times New Roman" w:hAnsi="Times New Roman"/>
          <w:sz w:val="26"/>
          <w:szCs w:val="26"/>
        </w:rPr>
        <w:t>: diện tích sàn tăng thêm tối đa theo điều kiện giao thông;</w:t>
      </w:r>
    </w:p>
    <w:p w14:paraId="1CF3CF29"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Ti</w:t>
      </w:r>
      <w:r w:rsidRPr="007D05B1">
        <w:rPr>
          <w:rFonts w:ascii="Times New Roman" w:eastAsia="Times New Roman" w:hAnsi="Times New Roman"/>
          <w:sz w:val="26"/>
          <w:szCs w:val="26"/>
        </w:rPr>
        <w:t xml:space="preserve">: diện tích sàn tối đa tương ứng với giới hạn của tuyến, nút giao hoặc thành phần giao thông thứ </w:t>
      </w:r>
      <w:r w:rsidRPr="007D05B1">
        <w:rPr>
          <w:rFonts w:ascii="Times New Roman" w:eastAsia="Times New Roman" w:hAnsi="Times New Roman"/>
          <w:i/>
          <w:iCs/>
          <w:sz w:val="26"/>
          <w:szCs w:val="26"/>
        </w:rPr>
        <w:t>i</w:t>
      </w:r>
      <w:r w:rsidRPr="007D05B1">
        <w:rPr>
          <w:rFonts w:ascii="Times New Roman" w:eastAsia="Times New Roman" w:hAnsi="Times New Roman"/>
          <w:sz w:val="26"/>
          <w:szCs w:val="26"/>
        </w:rPr>
        <w:t>.</w:t>
      </w:r>
    </w:p>
    <w:p w14:paraId="505F0ED1" w14:textId="77777777" w:rsidR="00A827EC" w:rsidRPr="007D05B1" w:rsidRDefault="003B455C">
      <w:pPr>
        <w:keepNext/>
        <w:spacing w:after="0" w:line="276" w:lineRule="auto"/>
        <w:ind w:firstLine="567"/>
        <w:jc w:val="both"/>
        <w:rPr>
          <w:rFonts w:ascii="Times New Roman" w:hAnsi="Times New Roman"/>
          <w:sz w:val="26"/>
          <w:szCs w:val="26"/>
        </w:rPr>
      </w:pPr>
      <w:r w:rsidRPr="007D05B1">
        <w:rPr>
          <w:rFonts w:ascii="Times New Roman" w:eastAsia="Times New Roman" w:hAnsi="Times New Roman"/>
          <w:b/>
          <w:sz w:val="26"/>
          <w:szCs w:val="26"/>
        </w:rPr>
        <w:t>3.6. Đánh giá giao thông tổng thể và sàng lọc dự án</w:t>
      </w:r>
    </w:p>
    <w:p w14:paraId="69C8473B" w14:textId="43FB3AF0"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 xml:space="preserve">a) Đánh giá giao thông tổng thể khu vực TOD xác lập </w:t>
      </w:r>
      <w:r w:rsidR="004A33CF" w:rsidRPr="007D05B1">
        <w:rPr>
          <w:rFonts w:ascii="Times New Roman" w:eastAsia="Times New Roman" w:hAnsi="Times New Roman"/>
          <w:sz w:val="26"/>
          <w:szCs w:val="26"/>
        </w:rPr>
        <w:t>sức</w:t>
      </w:r>
      <w:r w:rsidR="004A33CF" w:rsidRPr="007D05B1">
        <w:rPr>
          <w:rFonts w:ascii="Times New Roman" w:eastAsia="Times New Roman" w:hAnsi="Times New Roman"/>
          <w:sz w:val="26"/>
          <w:szCs w:val="26"/>
          <w:lang w:val="vi-VN"/>
        </w:rPr>
        <w:t xml:space="preserve"> chứa tổng thể (đặc biệt là khu vực lõi), </w:t>
      </w:r>
      <w:r w:rsidRPr="007D05B1">
        <w:rPr>
          <w:rFonts w:ascii="Times New Roman" w:eastAsia="Times New Roman" w:hAnsi="Times New Roman"/>
          <w:sz w:val="26"/>
          <w:szCs w:val="26"/>
        </w:rPr>
        <w:t xml:space="preserve">cơ cấu sử dụng đất, phân chia phương thức, chuyến đi nội bộ, lưu lượng cơ giới tăng thêm ròng và các điểm kiểm soát; kết quả được dùng chung để tránh lặp lại </w:t>
      </w:r>
      <w:r w:rsidR="00B6533B">
        <w:rPr>
          <w:rFonts w:ascii="Times New Roman" w:eastAsia="Times New Roman" w:hAnsi="Times New Roman"/>
          <w:sz w:val="26"/>
          <w:szCs w:val="26"/>
        </w:rPr>
        <w:t>đánh</w:t>
      </w:r>
      <w:r w:rsidR="00B6533B">
        <w:rPr>
          <w:rFonts w:ascii="Times New Roman" w:eastAsia="Times New Roman" w:hAnsi="Times New Roman"/>
          <w:sz w:val="26"/>
          <w:szCs w:val="26"/>
          <w:lang w:val="vi-VN"/>
        </w:rPr>
        <w:t xml:space="preserve"> giá giao thông (Transport assessment – </w:t>
      </w:r>
      <w:r w:rsidRPr="007D05B1">
        <w:rPr>
          <w:rFonts w:ascii="Times New Roman" w:eastAsia="Times New Roman" w:hAnsi="Times New Roman"/>
          <w:sz w:val="26"/>
          <w:szCs w:val="26"/>
        </w:rPr>
        <w:t>TA</w:t>
      </w:r>
      <w:r w:rsidR="00B6533B">
        <w:rPr>
          <w:rFonts w:ascii="Times New Roman" w:eastAsia="Times New Roman" w:hAnsi="Times New Roman"/>
          <w:sz w:val="26"/>
          <w:szCs w:val="26"/>
          <w:lang w:val="vi-VN"/>
        </w:rPr>
        <w:t>)</w:t>
      </w:r>
      <w:r w:rsidRPr="007D05B1">
        <w:rPr>
          <w:rFonts w:ascii="Times New Roman" w:eastAsia="Times New Roman" w:hAnsi="Times New Roman"/>
          <w:sz w:val="26"/>
          <w:szCs w:val="26"/>
        </w:rPr>
        <w:t xml:space="preserve"> ở cấp dự án</w:t>
      </w:r>
      <w:r w:rsidR="004A33CF" w:rsidRPr="007D05B1">
        <w:rPr>
          <w:rFonts w:ascii="Times New Roman" w:eastAsia="Times New Roman" w:hAnsi="Times New Roman"/>
          <w:sz w:val="26"/>
          <w:szCs w:val="26"/>
          <w:lang w:val="vi-VN"/>
        </w:rPr>
        <w:t xml:space="preserve"> (</w:t>
      </w:r>
      <w:r w:rsidR="004A33CF" w:rsidRPr="007D05B1">
        <w:rPr>
          <w:rFonts w:ascii="Times New Roman" w:eastAsia="Times New Roman" w:hAnsi="Times New Roman"/>
          <w:i/>
          <w:iCs/>
          <w:sz w:val="26"/>
          <w:szCs w:val="26"/>
          <w:lang w:val="vi-VN"/>
        </w:rPr>
        <w:t>Xem</w:t>
      </w:r>
      <w:r w:rsidR="004A33CF" w:rsidRPr="007D05B1">
        <w:rPr>
          <w:rFonts w:ascii="Times New Roman" w:eastAsia="Times New Roman" w:hAnsi="Times New Roman"/>
          <w:sz w:val="26"/>
          <w:szCs w:val="26"/>
          <w:lang w:val="vi-VN"/>
        </w:rPr>
        <w:t xml:space="preserve"> Bảng 1)</w:t>
      </w:r>
      <w:r w:rsidRPr="007D05B1">
        <w:rPr>
          <w:rFonts w:ascii="Times New Roman" w:eastAsia="Times New Roman" w:hAnsi="Times New Roman"/>
          <w:sz w:val="26"/>
          <w:szCs w:val="26"/>
        </w:rPr>
        <w:t>.</w:t>
      </w:r>
    </w:p>
    <w:p w14:paraId="4361A46F" w14:textId="32A6E90C"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 xml:space="preserve">b) Dự án thực hiện đánh giá </w:t>
      </w:r>
      <w:r w:rsidR="00FA2EB6">
        <w:rPr>
          <w:rFonts w:ascii="Times New Roman" w:eastAsia="Times New Roman" w:hAnsi="Times New Roman"/>
          <w:sz w:val="26"/>
          <w:szCs w:val="26"/>
        </w:rPr>
        <w:t>giao</w:t>
      </w:r>
      <w:r w:rsidR="00FA2EB6">
        <w:rPr>
          <w:rFonts w:ascii="Times New Roman" w:eastAsia="Times New Roman" w:hAnsi="Times New Roman"/>
          <w:sz w:val="26"/>
          <w:szCs w:val="26"/>
          <w:lang w:val="vi-VN"/>
        </w:rPr>
        <w:t xml:space="preserve"> thông </w:t>
      </w:r>
      <w:r w:rsidRPr="007D05B1">
        <w:rPr>
          <w:rFonts w:ascii="Times New Roman" w:eastAsia="Times New Roman" w:hAnsi="Times New Roman"/>
          <w:sz w:val="26"/>
          <w:szCs w:val="26"/>
        </w:rPr>
        <w:t>sơ bộ khi phần tăng thêm đạt một trong các ngưỡng: từ 10.000 m² sàn thương mại bán lẻ; từ 20.000 m² sàn văn phòng; trên 4.000 người</w:t>
      </w:r>
      <w:r w:rsidR="00B6533B">
        <w:rPr>
          <w:rFonts w:ascii="Times New Roman" w:eastAsia="Times New Roman" w:hAnsi="Times New Roman"/>
          <w:sz w:val="26"/>
          <w:szCs w:val="26"/>
          <w:lang w:val="vi-VN"/>
        </w:rPr>
        <w:t xml:space="preserve"> sàn nhà ở</w:t>
      </w:r>
      <w:r w:rsidRPr="007D05B1">
        <w:rPr>
          <w:rFonts w:ascii="Times New Roman" w:eastAsia="Times New Roman" w:hAnsi="Times New Roman"/>
          <w:sz w:val="26"/>
          <w:szCs w:val="26"/>
        </w:rPr>
        <w:t xml:space="preserve">; hoặc dự án hỗn hợp có </w:t>
      </w:r>
      <w:r w:rsidR="00B6533B">
        <w:rPr>
          <w:rFonts w:ascii="Times New Roman" w:eastAsia="Times New Roman" w:hAnsi="Times New Roman"/>
          <w:sz w:val="26"/>
          <w:szCs w:val="26"/>
        </w:rPr>
        <w:t>tổng</w:t>
      </w:r>
      <w:r w:rsidR="00B6533B">
        <w:rPr>
          <w:rFonts w:ascii="Times New Roman" w:eastAsia="Times New Roman" w:hAnsi="Times New Roman"/>
          <w:sz w:val="26"/>
          <w:szCs w:val="26"/>
          <w:lang w:val="vi-VN"/>
        </w:rPr>
        <w:t xml:space="preserve"> diện tích quy đổi (</w:t>
      </w:r>
      <w:r w:rsidRPr="007D05B1">
        <w:rPr>
          <w:rFonts w:ascii="Times New Roman" w:eastAsia="Times New Roman" w:hAnsi="Times New Roman"/>
          <w:sz w:val="26"/>
          <w:szCs w:val="26"/>
        </w:rPr>
        <w:t xml:space="preserve">E = </w:t>
      </w:r>
      <w:r w:rsidR="00B6533B">
        <w:rPr>
          <w:rFonts w:ascii="Times New Roman" w:eastAsia="Times New Roman" w:hAnsi="Times New Roman"/>
          <w:sz w:val="26"/>
          <w:szCs w:val="26"/>
        </w:rPr>
        <w:t>Diện</w:t>
      </w:r>
      <w:r w:rsidR="00B6533B">
        <w:rPr>
          <w:rFonts w:ascii="Times New Roman" w:eastAsia="Times New Roman" w:hAnsi="Times New Roman"/>
          <w:sz w:val="26"/>
          <w:szCs w:val="26"/>
          <w:lang w:val="vi-VN"/>
        </w:rPr>
        <w:t xml:space="preserve"> tích sàn thương mại bán lẻ</w:t>
      </w:r>
      <w:r w:rsidRPr="007D05B1">
        <w:rPr>
          <w:rFonts w:ascii="Times New Roman" w:eastAsia="Times New Roman" w:hAnsi="Times New Roman"/>
          <w:sz w:val="26"/>
          <w:szCs w:val="26"/>
        </w:rPr>
        <w:t xml:space="preserve"> + 0,5 × </w:t>
      </w:r>
      <w:r w:rsidR="00B6533B">
        <w:rPr>
          <w:rFonts w:ascii="Times New Roman" w:eastAsia="Times New Roman" w:hAnsi="Times New Roman"/>
          <w:sz w:val="26"/>
          <w:szCs w:val="26"/>
        </w:rPr>
        <w:t>Diện</w:t>
      </w:r>
      <w:r w:rsidR="00B6533B">
        <w:rPr>
          <w:rFonts w:ascii="Times New Roman" w:eastAsia="Times New Roman" w:hAnsi="Times New Roman"/>
          <w:sz w:val="26"/>
          <w:szCs w:val="26"/>
          <w:lang w:val="vi-VN"/>
        </w:rPr>
        <w:t xml:space="preserve"> tích sàn văn phòng) </w:t>
      </w:r>
      <w:r w:rsidRPr="007D05B1">
        <w:rPr>
          <w:rFonts w:ascii="Times New Roman" w:eastAsia="Times New Roman" w:hAnsi="Times New Roman"/>
          <w:sz w:val="26"/>
          <w:szCs w:val="26"/>
        </w:rPr>
        <w:t>từ 10.000 m².</w:t>
      </w:r>
    </w:p>
    <w:p w14:paraId="13EE15C9" w14:textId="531517B1"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 xml:space="preserve">c) Dự án phải lập </w:t>
      </w:r>
      <w:r w:rsidR="004A33CF" w:rsidRPr="007D05B1">
        <w:rPr>
          <w:rFonts w:ascii="Times New Roman" w:eastAsia="Times New Roman" w:hAnsi="Times New Roman"/>
          <w:sz w:val="26"/>
          <w:szCs w:val="26"/>
        </w:rPr>
        <w:t>báo</w:t>
      </w:r>
      <w:r w:rsidR="004A33CF" w:rsidRPr="007D05B1">
        <w:rPr>
          <w:rFonts w:ascii="Times New Roman" w:eastAsia="Times New Roman" w:hAnsi="Times New Roman"/>
          <w:sz w:val="26"/>
          <w:szCs w:val="26"/>
          <w:lang w:val="vi-VN"/>
        </w:rPr>
        <w:t xml:space="preserve"> cáo đánh giá giao thông đầy đủ (</w:t>
      </w:r>
      <w:r w:rsidR="00FA2EB6">
        <w:rPr>
          <w:rFonts w:ascii="Times New Roman" w:eastAsia="Times New Roman" w:hAnsi="Times New Roman"/>
          <w:sz w:val="26"/>
          <w:szCs w:val="26"/>
          <w:lang w:val="vi-VN"/>
        </w:rPr>
        <w:t xml:space="preserve">full </w:t>
      </w:r>
      <w:r w:rsidRPr="007D05B1">
        <w:rPr>
          <w:rFonts w:ascii="Times New Roman" w:eastAsia="Times New Roman" w:hAnsi="Times New Roman"/>
          <w:sz w:val="26"/>
          <w:szCs w:val="26"/>
        </w:rPr>
        <w:t>T</w:t>
      </w:r>
      <w:r w:rsidR="00FA2EB6">
        <w:rPr>
          <w:rFonts w:ascii="Times New Roman" w:eastAsia="Times New Roman" w:hAnsi="Times New Roman"/>
          <w:sz w:val="26"/>
          <w:szCs w:val="26"/>
          <w:lang w:val="vi-VN"/>
        </w:rPr>
        <w:t xml:space="preserve">A) </w:t>
      </w:r>
      <w:r w:rsidRPr="007D05B1">
        <w:rPr>
          <w:rFonts w:ascii="Times New Roman" w:eastAsia="Times New Roman" w:hAnsi="Times New Roman"/>
          <w:sz w:val="26"/>
          <w:szCs w:val="26"/>
        </w:rPr>
        <w:t xml:space="preserve">khi phần phát triển tăng thêm </w:t>
      </w:r>
      <w:r w:rsidR="004A33CF" w:rsidRPr="007D05B1">
        <w:rPr>
          <w:rFonts w:ascii="Times New Roman" w:eastAsia="Times New Roman" w:hAnsi="Times New Roman"/>
          <w:sz w:val="26"/>
          <w:szCs w:val="26"/>
        </w:rPr>
        <w:t>trong</w:t>
      </w:r>
      <w:r w:rsidR="004A33CF" w:rsidRPr="007D05B1">
        <w:rPr>
          <w:rFonts w:ascii="Times New Roman" w:eastAsia="Times New Roman" w:hAnsi="Times New Roman"/>
          <w:sz w:val="26"/>
          <w:szCs w:val="26"/>
          <w:lang w:val="vi-VN"/>
        </w:rPr>
        <w:t xml:space="preserve"> nhóm phải đánh giá sơ bộ đã </w:t>
      </w:r>
      <w:r w:rsidRPr="007D05B1">
        <w:rPr>
          <w:rFonts w:ascii="Times New Roman" w:eastAsia="Times New Roman" w:hAnsi="Times New Roman"/>
          <w:sz w:val="26"/>
          <w:szCs w:val="26"/>
        </w:rPr>
        <w:t xml:space="preserve">vượt 10% sức chứa của lõi TOD theo nhóm chỉ tiêu tương ứng; </w:t>
      </w:r>
      <w:r w:rsidR="004A33CF" w:rsidRPr="007D05B1">
        <w:rPr>
          <w:rFonts w:ascii="Times New Roman" w:eastAsia="Times New Roman" w:hAnsi="Times New Roman"/>
          <w:sz w:val="26"/>
          <w:szCs w:val="26"/>
        </w:rPr>
        <w:t>có</w:t>
      </w:r>
      <w:r w:rsidR="004A33CF" w:rsidRPr="007D05B1">
        <w:rPr>
          <w:rFonts w:ascii="Times New Roman" w:eastAsia="Times New Roman" w:hAnsi="Times New Roman"/>
          <w:sz w:val="26"/>
          <w:szCs w:val="26"/>
          <w:lang w:val="vi-VN"/>
        </w:rPr>
        <w:t xml:space="preserve"> khả năng </w:t>
      </w:r>
      <w:r w:rsidRPr="007D05B1">
        <w:rPr>
          <w:rFonts w:ascii="Times New Roman" w:eastAsia="Times New Roman" w:hAnsi="Times New Roman"/>
          <w:sz w:val="26"/>
          <w:szCs w:val="26"/>
        </w:rPr>
        <w:t xml:space="preserve">làm vượt năng lực phục vụ tại </w:t>
      </w:r>
      <w:r w:rsidR="004A33CF" w:rsidRPr="007D05B1">
        <w:rPr>
          <w:rFonts w:ascii="Times New Roman" w:eastAsia="Times New Roman" w:hAnsi="Times New Roman"/>
          <w:sz w:val="26"/>
          <w:szCs w:val="26"/>
        </w:rPr>
        <w:t>các</w:t>
      </w:r>
      <w:r w:rsidR="004A33CF" w:rsidRPr="007D05B1">
        <w:rPr>
          <w:rFonts w:ascii="Times New Roman" w:eastAsia="Times New Roman" w:hAnsi="Times New Roman"/>
          <w:sz w:val="26"/>
          <w:szCs w:val="26"/>
          <w:lang w:val="vi-VN"/>
        </w:rPr>
        <w:t xml:space="preserve"> vị trí </w:t>
      </w:r>
      <w:r w:rsidR="004A33CF" w:rsidRPr="007D05B1">
        <w:rPr>
          <w:rFonts w:ascii="Times New Roman" w:eastAsia="Times New Roman" w:hAnsi="Times New Roman"/>
          <w:sz w:val="26"/>
          <w:szCs w:val="26"/>
        </w:rPr>
        <w:t>cần</w:t>
      </w:r>
      <w:r w:rsidR="004A33CF" w:rsidRPr="007D05B1">
        <w:rPr>
          <w:rFonts w:ascii="Times New Roman" w:eastAsia="Times New Roman" w:hAnsi="Times New Roman"/>
          <w:sz w:val="26"/>
          <w:szCs w:val="26"/>
          <w:lang w:val="vi-VN"/>
        </w:rPr>
        <w:t xml:space="preserve"> </w:t>
      </w:r>
      <w:r w:rsidRPr="007D05B1">
        <w:rPr>
          <w:rFonts w:ascii="Times New Roman" w:eastAsia="Times New Roman" w:hAnsi="Times New Roman"/>
          <w:sz w:val="26"/>
          <w:szCs w:val="26"/>
        </w:rPr>
        <w:t>kiểm soát; hoặc thay đổi đáng kể cơ cấu sử dụng đất, phân chia phương thức, tổ chức tiếp cận hay giả định nền của đánh giá tổng thể.</w:t>
      </w:r>
    </w:p>
    <w:p w14:paraId="2FC6833B" w14:textId="7B2C27B6" w:rsidR="00A827EC" w:rsidRDefault="003B455C">
      <w:pPr>
        <w:spacing w:after="0" w:line="276" w:lineRule="auto"/>
        <w:ind w:firstLine="567"/>
        <w:jc w:val="both"/>
        <w:rPr>
          <w:rFonts w:ascii="Times New Roman" w:eastAsia="Times New Roman" w:hAnsi="Times New Roman"/>
          <w:sz w:val="26"/>
          <w:szCs w:val="26"/>
          <w:lang w:val="vi-VN"/>
        </w:rPr>
      </w:pPr>
      <w:r w:rsidRPr="007D05B1">
        <w:rPr>
          <w:rFonts w:ascii="Times New Roman" w:eastAsia="Times New Roman" w:hAnsi="Times New Roman"/>
          <w:sz w:val="26"/>
          <w:szCs w:val="26"/>
        </w:rPr>
        <w:t xml:space="preserve">d) Ngưỡng tại điểm b là ngưỡng sàng lọc, không phải giới hạn phát triển và không tự động làm phát sinh TIA độc lập. Đánh giá sử dụng chuyến đi cơ giới tăng thêm ròng sau khi </w:t>
      </w:r>
      <w:r w:rsidR="004A33CF" w:rsidRPr="007D05B1">
        <w:rPr>
          <w:rFonts w:ascii="Times New Roman" w:eastAsia="Times New Roman" w:hAnsi="Times New Roman"/>
          <w:sz w:val="26"/>
          <w:szCs w:val="26"/>
        </w:rPr>
        <w:t>giảm</w:t>
      </w:r>
      <w:r w:rsidR="004A33CF" w:rsidRPr="007D05B1">
        <w:rPr>
          <w:rFonts w:ascii="Times New Roman" w:eastAsia="Times New Roman" w:hAnsi="Times New Roman"/>
          <w:sz w:val="26"/>
          <w:szCs w:val="26"/>
          <w:lang w:val="vi-VN"/>
        </w:rPr>
        <w:t xml:space="preserve"> trừ khả năng </w:t>
      </w:r>
      <w:r w:rsidR="004A33CF" w:rsidRPr="007D05B1">
        <w:rPr>
          <w:rFonts w:ascii="Times New Roman" w:eastAsia="Times New Roman" w:hAnsi="Times New Roman"/>
          <w:sz w:val="26"/>
          <w:szCs w:val="26"/>
        </w:rPr>
        <w:t>hấp</w:t>
      </w:r>
      <w:r w:rsidR="004A33CF" w:rsidRPr="007D05B1">
        <w:rPr>
          <w:rFonts w:ascii="Times New Roman" w:eastAsia="Times New Roman" w:hAnsi="Times New Roman"/>
          <w:sz w:val="26"/>
          <w:szCs w:val="26"/>
          <w:lang w:val="vi-VN"/>
        </w:rPr>
        <w:t xml:space="preserve"> thụ chuyến đi </w:t>
      </w:r>
      <w:r w:rsidRPr="007D05B1">
        <w:rPr>
          <w:rFonts w:ascii="Times New Roman" w:eastAsia="Times New Roman" w:hAnsi="Times New Roman"/>
          <w:sz w:val="26"/>
          <w:szCs w:val="26"/>
        </w:rPr>
        <w:t>nội bộ, giao thông công cộng, đi bộ, xe đạp và chuyến đi kết hợp.</w:t>
      </w:r>
    </w:p>
    <w:p w14:paraId="24C302A3" w14:textId="77777777" w:rsidR="00B6533B" w:rsidRDefault="00B6533B" w:rsidP="004A33CF">
      <w:pPr>
        <w:spacing w:after="0"/>
        <w:ind w:firstLine="567"/>
        <w:rPr>
          <w:rFonts w:ascii="Times New Roman" w:eastAsia="Times New Roman" w:hAnsi="Times New Roman"/>
          <w:sz w:val="26"/>
          <w:szCs w:val="26"/>
          <w:lang w:val="vi-VN"/>
        </w:rPr>
      </w:pPr>
    </w:p>
    <w:p w14:paraId="7E5663FE" w14:textId="6B3ABCF0" w:rsidR="004A33CF" w:rsidRPr="007D05B1" w:rsidRDefault="00B6533B" w:rsidP="004A33CF">
      <w:pPr>
        <w:spacing w:after="0"/>
        <w:ind w:firstLine="567"/>
        <w:rPr>
          <w:rFonts w:ascii="Times New Roman" w:hAnsi="Times New Roman"/>
          <w:b/>
          <w:bCs/>
          <w:sz w:val="26"/>
          <w:szCs w:val="26"/>
          <w:lang w:val="vi-VN"/>
        </w:rPr>
      </w:pPr>
      <w:r>
        <w:rPr>
          <w:rFonts w:ascii="Times New Roman" w:hAnsi="Times New Roman"/>
          <w:b/>
          <w:bCs/>
          <w:sz w:val="26"/>
          <w:szCs w:val="26"/>
          <w:lang w:val="vi-VN"/>
        </w:rPr>
        <w:t>Bảng s</w:t>
      </w:r>
      <w:r w:rsidR="004A33CF" w:rsidRPr="007D05B1">
        <w:rPr>
          <w:rFonts w:ascii="Times New Roman" w:hAnsi="Times New Roman"/>
          <w:b/>
          <w:bCs/>
          <w:sz w:val="26"/>
          <w:szCs w:val="26"/>
          <w:lang w:val="vi-VN"/>
        </w:rPr>
        <w:t>àng lọc dự án cần đánh giá giao thông</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4"/>
        <w:gridCol w:w="2839"/>
        <w:gridCol w:w="3402"/>
      </w:tblGrid>
      <w:tr w:rsidR="004A33CF" w:rsidRPr="007D05B1" w14:paraId="7D488246" w14:textId="77777777" w:rsidTr="00B6533B">
        <w:trPr>
          <w:tblHeader/>
          <w:jc w:val="center"/>
        </w:trPr>
        <w:tc>
          <w:tcPr>
            <w:tcW w:w="3114" w:type="dxa"/>
            <w:vAlign w:val="center"/>
          </w:tcPr>
          <w:p w14:paraId="5346F4D1" w14:textId="6B06D2F6" w:rsidR="004A33CF" w:rsidRPr="00B6533B" w:rsidRDefault="00B6533B" w:rsidP="00925962">
            <w:pPr>
              <w:jc w:val="center"/>
              <w:rPr>
                <w:rFonts w:ascii="Times New Roman" w:hAnsi="Times New Roman"/>
                <w:sz w:val="26"/>
                <w:szCs w:val="26"/>
                <w:lang w:val="vi-VN"/>
              </w:rPr>
            </w:pPr>
            <w:r w:rsidRPr="00B6533B">
              <w:rPr>
                <w:rFonts w:ascii="Times New Roman" w:eastAsia="Times New Roman" w:hAnsi="Times New Roman"/>
                <w:b/>
                <w:sz w:val="26"/>
                <w:szCs w:val="26"/>
              </w:rPr>
              <w:t>Chức năng dự án</w:t>
            </w:r>
          </w:p>
        </w:tc>
        <w:tc>
          <w:tcPr>
            <w:tcW w:w="2839" w:type="dxa"/>
            <w:vAlign w:val="center"/>
          </w:tcPr>
          <w:p w14:paraId="642AE558" w14:textId="1A432A37" w:rsidR="004A33CF" w:rsidRPr="00B6533B" w:rsidRDefault="00B6533B" w:rsidP="00925962">
            <w:pPr>
              <w:jc w:val="center"/>
              <w:rPr>
                <w:rFonts w:ascii="Times New Roman" w:hAnsi="Times New Roman"/>
                <w:sz w:val="26"/>
                <w:szCs w:val="26"/>
                <w:lang w:val="vi-VN"/>
              </w:rPr>
            </w:pPr>
            <w:r w:rsidRPr="00B6533B">
              <w:rPr>
                <w:rFonts w:ascii="Times New Roman" w:eastAsia="Times New Roman" w:hAnsi="Times New Roman"/>
                <w:b/>
                <w:sz w:val="26"/>
                <w:szCs w:val="26"/>
              </w:rPr>
              <w:t>Ng</w:t>
            </w:r>
            <w:r>
              <w:rPr>
                <w:rFonts w:ascii="Times New Roman" w:eastAsia="Times New Roman" w:hAnsi="Times New Roman"/>
                <w:b/>
                <w:sz w:val="26"/>
                <w:szCs w:val="26"/>
              </w:rPr>
              <w:t>ưỡng</w:t>
            </w:r>
            <w:r>
              <w:rPr>
                <w:rFonts w:ascii="Times New Roman" w:eastAsia="Times New Roman" w:hAnsi="Times New Roman"/>
                <w:b/>
                <w:sz w:val="26"/>
                <w:szCs w:val="26"/>
                <w:lang w:val="vi-VN"/>
              </w:rPr>
              <w:t xml:space="preserve"> </w:t>
            </w:r>
            <w:r w:rsidRPr="00B6533B">
              <w:rPr>
                <w:rFonts w:ascii="Times New Roman" w:eastAsia="Times New Roman" w:hAnsi="Times New Roman"/>
                <w:b/>
                <w:sz w:val="26"/>
                <w:szCs w:val="26"/>
              </w:rPr>
              <w:t>diện tích sàn</w:t>
            </w:r>
            <w:r>
              <w:rPr>
                <w:rFonts w:ascii="Times New Roman" w:eastAsia="Times New Roman" w:hAnsi="Times New Roman"/>
                <w:b/>
                <w:sz w:val="26"/>
                <w:szCs w:val="26"/>
                <w:lang w:val="vi-VN"/>
              </w:rPr>
              <w:t>/dân số bổ sung</w:t>
            </w:r>
          </w:p>
        </w:tc>
        <w:tc>
          <w:tcPr>
            <w:tcW w:w="3402" w:type="dxa"/>
            <w:vAlign w:val="center"/>
          </w:tcPr>
          <w:p w14:paraId="5CAD3EA1" w14:textId="6AA9C83E" w:rsidR="004A33CF" w:rsidRPr="00B6533B" w:rsidRDefault="00B6533B" w:rsidP="00925962">
            <w:pPr>
              <w:jc w:val="center"/>
              <w:rPr>
                <w:rFonts w:ascii="Times New Roman" w:hAnsi="Times New Roman"/>
                <w:sz w:val="26"/>
                <w:szCs w:val="26"/>
                <w:lang w:val="vi-VN"/>
              </w:rPr>
            </w:pPr>
            <w:r>
              <w:rPr>
                <w:rFonts w:ascii="Times New Roman" w:eastAsia="Times New Roman" w:hAnsi="Times New Roman"/>
                <w:b/>
                <w:sz w:val="26"/>
                <w:szCs w:val="26"/>
                <w:lang w:val="vi-VN"/>
              </w:rPr>
              <w:t>Hình thức đánh giá giao thông</w:t>
            </w:r>
          </w:p>
        </w:tc>
      </w:tr>
      <w:tr w:rsidR="004A33CF" w:rsidRPr="007D05B1" w14:paraId="4EB54D6C" w14:textId="77777777" w:rsidTr="00B6533B">
        <w:trPr>
          <w:jc w:val="center"/>
        </w:trPr>
        <w:tc>
          <w:tcPr>
            <w:tcW w:w="3114" w:type="dxa"/>
            <w:vAlign w:val="center"/>
          </w:tcPr>
          <w:p w14:paraId="0849594C" w14:textId="77777777" w:rsidR="004A33CF" w:rsidRPr="007D05B1" w:rsidRDefault="004A33CF" w:rsidP="00925962">
            <w:pPr>
              <w:rPr>
                <w:rFonts w:ascii="Times New Roman" w:hAnsi="Times New Roman"/>
                <w:sz w:val="26"/>
                <w:szCs w:val="26"/>
              </w:rPr>
            </w:pPr>
            <w:r w:rsidRPr="007D05B1">
              <w:rPr>
                <w:rFonts w:ascii="Times New Roman" w:eastAsia="Times New Roman" w:hAnsi="Times New Roman"/>
                <w:sz w:val="26"/>
                <w:szCs w:val="26"/>
              </w:rPr>
              <w:t>Thương mại bán lẻ</w:t>
            </w:r>
          </w:p>
        </w:tc>
        <w:tc>
          <w:tcPr>
            <w:tcW w:w="2839" w:type="dxa"/>
            <w:vAlign w:val="center"/>
          </w:tcPr>
          <w:p w14:paraId="00F36040" w14:textId="77777777"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Từ 10.000 m²</w:t>
            </w:r>
          </w:p>
        </w:tc>
        <w:tc>
          <w:tcPr>
            <w:tcW w:w="3402" w:type="dxa"/>
            <w:vAlign w:val="center"/>
          </w:tcPr>
          <w:p w14:paraId="13C02E1A" w14:textId="0E73EE62"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 xml:space="preserve">Đánh giá sơ bộ </w:t>
            </w:r>
          </w:p>
        </w:tc>
      </w:tr>
      <w:tr w:rsidR="004A33CF" w:rsidRPr="007D05B1" w14:paraId="4728C02B" w14:textId="77777777" w:rsidTr="00B6533B">
        <w:trPr>
          <w:jc w:val="center"/>
        </w:trPr>
        <w:tc>
          <w:tcPr>
            <w:tcW w:w="3114" w:type="dxa"/>
            <w:vAlign w:val="center"/>
          </w:tcPr>
          <w:p w14:paraId="1C68137F" w14:textId="77777777" w:rsidR="004A33CF" w:rsidRPr="007D05B1" w:rsidRDefault="004A33CF" w:rsidP="00925962">
            <w:pPr>
              <w:rPr>
                <w:rFonts w:ascii="Times New Roman" w:hAnsi="Times New Roman"/>
                <w:sz w:val="26"/>
                <w:szCs w:val="26"/>
              </w:rPr>
            </w:pPr>
            <w:r w:rsidRPr="007D05B1">
              <w:rPr>
                <w:rFonts w:ascii="Times New Roman" w:eastAsia="Times New Roman" w:hAnsi="Times New Roman"/>
                <w:sz w:val="26"/>
                <w:szCs w:val="26"/>
              </w:rPr>
              <w:t>Văn phòng</w:t>
            </w:r>
          </w:p>
        </w:tc>
        <w:tc>
          <w:tcPr>
            <w:tcW w:w="2839" w:type="dxa"/>
            <w:vAlign w:val="center"/>
          </w:tcPr>
          <w:p w14:paraId="5FC0B678" w14:textId="77777777"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Từ 20.000 m²</w:t>
            </w:r>
          </w:p>
        </w:tc>
        <w:tc>
          <w:tcPr>
            <w:tcW w:w="3402" w:type="dxa"/>
            <w:vAlign w:val="center"/>
          </w:tcPr>
          <w:p w14:paraId="7F24F06F" w14:textId="108CE2BF"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 xml:space="preserve">Đánh giá sơ bộ </w:t>
            </w:r>
          </w:p>
        </w:tc>
      </w:tr>
      <w:tr w:rsidR="004A33CF" w:rsidRPr="007D05B1" w14:paraId="10670E6A" w14:textId="77777777" w:rsidTr="00B6533B">
        <w:trPr>
          <w:jc w:val="center"/>
        </w:trPr>
        <w:tc>
          <w:tcPr>
            <w:tcW w:w="3114" w:type="dxa"/>
            <w:vAlign w:val="center"/>
          </w:tcPr>
          <w:p w14:paraId="0161168E" w14:textId="77777777" w:rsidR="004A33CF" w:rsidRPr="007D05B1" w:rsidRDefault="004A33CF" w:rsidP="00925962">
            <w:pPr>
              <w:rPr>
                <w:rFonts w:ascii="Times New Roman" w:hAnsi="Times New Roman"/>
                <w:sz w:val="26"/>
                <w:szCs w:val="26"/>
              </w:rPr>
            </w:pPr>
            <w:r w:rsidRPr="007D05B1">
              <w:rPr>
                <w:rFonts w:ascii="Times New Roman" w:eastAsia="Times New Roman" w:hAnsi="Times New Roman"/>
                <w:sz w:val="26"/>
                <w:szCs w:val="26"/>
              </w:rPr>
              <w:t>Nhà ở</w:t>
            </w:r>
          </w:p>
        </w:tc>
        <w:tc>
          <w:tcPr>
            <w:tcW w:w="2839" w:type="dxa"/>
            <w:vAlign w:val="center"/>
          </w:tcPr>
          <w:p w14:paraId="04AAEC67" w14:textId="1CB4E166"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T</w:t>
            </w:r>
            <w:r w:rsidR="00B6533B">
              <w:rPr>
                <w:rFonts w:ascii="Times New Roman" w:eastAsia="Times New Roman" w:hAnsi="Times New Roman"/>
                <w:sz w:val="26"/>
                <w:szCs w:val="26"/>
              </w:rPr>
              <w:t>ừ</w:t>
            </w:r>
            <w:r w:rsidR="00B6533B">
              <w:rPr>
                <w:rFonts w:ascii="Times New Roman" w:eastAsia="Times New Roman" w:hAnsi="Times New Roman"/>
                <w:sz w:val="26"/>
                <w:szCs w:val="26"/>
                <w:lang w:val="vi-VN"/>
              </w:rPr>
              <w:t xml:space="preserve"> </w:t>
            </w:r>
            <w:r w:rsidRPr="007D05B1">
              <w:rPr>
                <w:rFonts w:ascii="Times New Roman" w:eastAsia="Times New Roman" w:hAnsi="Times New Roman"/>
                <w:sz w:val="26"/>
                <w:szCs w:val="26"/>
              </w:rPr>
              <w:t>4.000 người</w:t>
            </w:r>
          </w:p>
        </w:tc>
        <w:tc>
          <w:tcPr>
            <w:tcW w:w="3402" w:type="dxa"/>
            <w:vAlign w:val="center"/>
          </w:tcPr>
          <w:p w14:paraId="2C3BE258" w14:textId="413BF95F" w:rsidR="004A33CF" w:rsidRPr="00B6533B" w:rsidRDefault="004A33CF" w:rsidP="00925962">
            <w:pPr>
              <w:jc w:val="center"/>
              <w:rPr>
                <w:rFonts w:ascii="Times New Roman" w:hAnsi="Times New Roman"/>
                <w:sz w:val="26"/>
                <w:szCs w:val="26"/>
                <w:lang w:val="vi-VN"/>
              </w:rPr>
            </w:pPr>
            <w:r w:rsidRPr="007D05B1">
              <w:rPr>
                <w:rFonts w:ascii="Times New Roman" w:eastAsia="Times New Roman" w:hAnsi="Times New Roman"/>
                <w:sz w:val="26"/>
                <w:szCs w:val="26"/>
              </w:rPr>
              <w:t>Đánh giá sơ bộ</w:t>
            </w:r>
          </w:p>
        </w:tc>
      </w:tr>
      <w:tr w:rsidR="004A33CF" w:rsidRPr="007D05B1" w14:paraId="7FE6D768" w14:textId="77777777" w:rsidTr="00B6533B">
        <w:trPr>
          <w:jc w:val="center"/>
        </w:trPr>
        <w:tc>
          <w:tcPr>
            <w:tcW w:w="3114" w:type="dxa"/>
            <w:vAlign w:val="center"/>
          </w:tcPr>
          <w:p w14:paraId="5CA0B4C9" w14:textId="77777777" w:rsidR="004A33CF" w:rsidRPr="007D05B1" w:rsidRDefault="004A33CF" w:rsidP="00925962">
            <w:pPr>
              <w:rPr>
                <w:rFonts w:ascii="Times New Roman" w:hAnsi="Times New Roman"/>
                <w:sz w:val="26"/>
                <w:szCs w:val="26"/>
              </w:rPr>
            </w:pPr>
            <w:r w:rsidRPr="007D05B1">
              <w:rPr>
                <w:rFonts w:ascii="Times New Roman" w:eastAsia="Times New Roman" w:hAnsi="Times New Roman"/>
                <w:sz w:val="26"/>
                <w:szCs w:val="26"/>
              </w:rPr>
              <w:t>Hỗn hợp</w:t>
            </w:r>
          </w:p>
        </w:tc>
        <w:tc>
          <w:tcPr>
            <w:tcW w:w="2839" w:type="dxa"/>
            <w:vAlign w:val="center"/>
          </w:tcPr>
          <w:p w14:paraId="1C447507" w14:textId="76EE26FA" w:rsidR="004A33CF" w:rsidRPr="00B6533B" w:rsidRDefault="004A33CF" w:rsidP="00925962">
            <w:pPr>
              <w:jc w:val="center"/>
              <w:rPr>
                <w:rFonts w:ascii="Times New Roman" w:hAnsi="Times New Roman"/>
                <w:sz w:val="26"/>
                <w:szCs w:val="26"/>
                <w:lang w:val="vi-VN"/>
              </w:rPr>
            </w:pPr>
            <w:r w:rsidRPr="007D05B1">
              <w:rPr>
                <w:rFonts w:ascii="Times New Roman" w:eastAsia="Times New Roman" w:hAnsi="Times New Roman"/>
                <w:sz w:val="26"/>
                <w:szCs w:val="26"/>
              </w:rPr>
              <w:t xml:space="preserve">E = </w:t>
            </w:r>
            <w:r w:rsidR="00B6533B">
              <w:rPr>
                <w:rFonts w:ascii="Times New Roman" w:eastAsia="Times New Roman" w:hAnsi="Times New Roman"/>
                <w:sz w:val="26"/>
                <w:szCs w:val="26"/>
              </w:rPr>
              <w:t>Diện</w:t>
            </w:r>
            <w:r w:rsidR="00B6533B">
              <w:rPr>
                <w:rFonts w:ascii="Times New Roman" w:eastAsia="Times New Roman" w:hAnsi="Times New Roman"/>
                <w:sz w:val="26"/>
                <w:szCs w:val="26"/>
                <w:lang w:val="vi-VN"/>
              </w:rPr>
              <w:t xml:space="preserve"> tích sàn bán lẻ</w:t>
            </w:r>
            <w:r w:rsidRPr="007D05B1">
              <w:rPr>
                <w:rFonts w:ascii="Times New Roman" w:eastAsia="Times New Roman" w:hAnsi="Times New Roman"/>
                <w:sz w:val="26"/>
                <w:szCs w:val="26"/>
              </w:rPr>
              <w:t xml:space="preserve"> + 0,5 × </w:t>
            </w:r>
            <w:r w:rsidR="00B6533B">
              <w:rPr>
                <w:rFonts w:ascii="Times New Roman" w:eastAsia="Times New Roman" w:hAnsi="Times New Roman"/>
                <w:sz w:val="26"/>
                <w:szCs w:val="26"/>
              </w:rPr>
              <w:t>Diện</w:t>
            </w:r>
            <w:r w:rsidR="00B6533B">
              <w:rPr>
                <w:rFonts w:ascii="Times New Roman" w:eastAsia="Times New Roman" w:hAnsi="Times New Roman"/>
                <w:sz w:val="26"/>
                <w:szCs w:val="26"/>
                <w:lang w:val="vi-VN"/>
              </w:rPr>
              <w:t xml:space="preserve"> tích sàn văn phòng</w:t>
            </w:r>
          </w:p>
        </w:tc>
        <w:tc>
          <w:tcPr>
            <w:tcW w:w="3402" w:type="dxa"/>
            <w:vAlign w:val="center"/>
          </w:tcPr>
          <w:p w14:paraId="094A3BDA" w14:textId="0E5A882C" w:rsidR="004A33CF" w:rsidRPr="007D05B1" w:rsidRDefault="00FA2EB6" w:rsidP="00925962">
            <w:pPr>
              <w:jc w:val="center"/>
              <w:rPr>
                <w:rFonts w:ascii="Times New Roman" w:hAnsi="Times New Roman"/>
                <w:sz w:val="26"/>
                <w:szCs w:val="26"/>
              </w:rPr>
            </w:pPr>
            <w:r w:rsidRPr="007D05B1">
              <w:rPr>
                <w:rFonts w:ascii="Times New Roman" w:eastAsia="Times New Roman" w:hAnsi="Times New Roman"/>
                <w:sz w:val="26"/>
                <w:szCs w:val="26"/>
              </w:rPr>
              <w:t>Đánh giá sơ bộ</w:t>
            </w:r>
          </w:p>
        </w:tc>
      </w:tr>
      <w:tr w:rsidR="004A33CF" w:rsidRPr="007D05B1" w14:paraId="71AFCA3C" w14:textId="77777777" w:rsidTr="00B6533B">
        <w:trPr>
          <w:jc w:val="center"/>
        </w:trPr>
        <w:tc>
          <w:tcPr>
            <w:tcW w:w="3114" w:type="dxa"/>
            <w:vAlign w:val="center"/>
          </w:tcPr>
          <w:p w14:paraId="55E2C058" w14:textId="77777777" w:rsidR="004A33CF" w:rsidRPr="007D05B1" w:rsidRDefault="004A33CF" w:rsidP="00925962">
            <w:pPr>
              <w:rPr>
                <w:rFonts w:ascii="Times New Roman" w:hAnsi="Times New Roman"/>
                <w:sz w:val="26"/>
                <w:szCs w:val="26"/>
              </w:rPr>
            </w:pPr>
            <w:r w:rsidRPr="007D05B1">
              <w:rPr>
                <w:rFonts w:ascii="Times New Roman" w:eastAsia="Times New Roman" w:hAnsi="Times New Roman"/>
                <w:sz w:val="26"/>
                <w:szCs w:val="26"/>
              </w:rPr>
              <w:t>Quy mô so với lõi TOD</w:t>
            </w:r>
          </w:p>
        </w:tc>
        <w:tc>
          <w:tcPr>
            <w:tcW w:w="2839" w:type="dxa"/>
            <w:vAlign w:val="center"/>
          </w:tcPr>
          <w:p w14:paraId="76F9CAB4" w14:textId="3DAC1E88" w:rsidR="004A33CF" w:rsidRPr="007D05B1" w:rsidRDefault="004A33CF" w:rsidP="00925962">
            <w:pPr>
              <w:jc w:val="center"/>
              <w:rPr>
                <w:rFonts w:ascii="Times New Roman" w:hAnsi="Times New Roman"/>
                <w:sz w:val="26"/>
                <w:szCs w:val="26"/>
              </w:rPr>
            </w:pPr>
            <w:r w:rsidRPr="007D05B1">
              <w:rPr>
                <w:rFonts w:ascii="Times New Roman" w:eastAsia="Times New Roman" w:hAnsi="Times New Roman"/>
                <w:sz w:val="26"/>
                <w:szCs w:val="26"/>
              </w:rPr>
              <w:t>Các</w:t>
            </w:r>
            <w:r w:rsidRPr="007D05B1">
              <w:rPr>
                <w:rFonts w:ascii="Times New Roman" w:eastAsia="Times New Roman" w:hAnsi="Times New Roman"/>
                <w:sz w:val="26"/>
                <w:szCs w:val="26"/>
                <w:lang w:val="vi-VN"/>
              </w:rPr>
              <w:t xml:space="preserve"> yếu tố trên và </w:t>
            </w:r>
            <w:r w:rsidRPr="007D05B1">
              <w:rPr>
                <w:rFonts w:ascii="Times New Roman" w:eastAsia="Times New Roman" w:hAnsi="Times New Roman"/>
                <w:sz w:val="26"/>
                <w:szCs w:val="26"/>
              </w:rPr>
              <w:t>vượt 10% sức chứa</w:t>
            </w:r>
          </w:p>
        </w:tc>
        <w:tc>
          <w:tcPr>
            <w:tcW w:w="3402" w:type="dxa"/>
            <w:vAlign w:val="center"/>
          </w:tcPr>
          <w:p w14:paraId="67E25A51" w14:textId="1A59F62E" w:rsidR="004A33CF" w:rsidRPr="00FA2EB6" w:rsidRDefault="00FA2EB6" w:rsidP="00925962">
            <w:pPr>
              <w:jc w:val="center"/>
              <w:rPr>
                <w:rFonts w:ascii="Times New Roman" w:hAnsi="Times New Roman"/>
                <w:sz w:val="26"/>
                <w:szCs w:val="26"/>
                <w:lang w:val="vi-VN"/>
              </w:rPr>
            </w:pPr>
            <w:r>
              <w:rPr>
                <w:rFonts w:ascii="Times New Roman" w:hAnsi="Times New Roman"/>
                <w:sz w:val="26"/>
                <w:szCs w:val="26"/>
                <w:lang w:val="vi-VN"/>
              </w:rPr>
              <w:t>Đánh giá đầy đủ</w:t>
            </w:r>
          </w:p>
        </w:tc>
      </w:tr>
    </w:tbl>
    <w:p w14:paraId="1F7E4214" w14:textId="77777777" w:rsidR="004A33CF" w:rsidRPr="007D05B1" w:rsidRDefault="004A33CF">
      <w:pPr>
        <w:spacing w:after="0" w:line="276" w:lineRule="auto"/>
        <w:ind w:firstLine="567"/>
        <w:jc w:val="both"/>
        <w:rPr>
          <w:rFonts w:ascii="Times New Roman" w:hAnsi="Times New Roman"/>
          <w:sz w:val="26"/>
          <w:szCs w:val="26"/>
          <w:lang w:val="vi-VN"/>
        </w:rPr>
      </w:pPr>
    </w:p>
    <w:p w14:paraId="6DA545A6"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4. Đánh giá sức chứa hạ tầng xã hội</w:t>
      </w:r>
    </w:p>
    <w:p w14:paraId="786DDBA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4.1. Việc đánh giá tối thiểu được thực hiện đối với:</w:t>
      </w:r>
    </w:p>
    <w:p w14:paraId="298F7FB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Giáo dục;</w:t>
      </w:r>
    </w:p>
    <w:p w14:paraId="01243DD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Cây xanh;</w:t>
      </w:r>
    </w:p>
    <w:p w14:paraId="666451B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Y tế;</w:t>
      </w:r>
    </w:p>
    <w:p w14:paraId="319EDA2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Văn hóa;</w:t>
      </w:r>
    </w:p>
    <w:p w14:paraId="3624E4B6"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Thể dục, thể thao;</w:t>
      </w:r>
    </w:p>
    <w:p w14:paraId="4066F75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 Không gian công cộng;</w:t>
      </w:r>
    </w:p>
    <w:p w14:paraId="492B29D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 Các dịch vụ xã hội thiết yếu khác theo quy định.</w:t>
      </w:r>
    </w:p>
    <w:p w14:paraId="17F1965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4.2. Nhu cầu bổ sung của từng loại hạ tầng được xác định trên cơ sở dân số tăng thêm và cơ cấu sử dụng đất.</w:t>
      </w:r>
    </w:p>
    <w:p w14:paraId="2A20808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4.3. Sức chứa còn lại của từng loại hạ tầng được xác định theo công thức:</w:t>
      </w:r>
    </w:p>
    <w:p w14:paraId="3BEEE853" w14:textId="77777777" w:rsidR="00143735" w:rsidRPr="007D05B1" w:rsidRDefault="00143735" w:rsidP="001E4870">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C</w:t>
      </w:r>
      <w:r w:rsidRPr="007D05B1">
        <w:rPr>
          <w:rFonts w:ascii="Times New Roman" w:eastAsia="Times New Roman" w:hAnsi="Times New Roman"/>
          <w:b/>
          <w:bCs/>
          <w:sz w:val="26"/>
          <w:szCs w:val="26"/>
          <w:vertAlign w:val="subscript"/>
        </w:rPr>
        <w:t>j</w:t>
      </w:r>
      <w:r w:rsidRPr="007D05B1">
        <w:rPr>
          <w:rFonts w:ascii="Times New Roman" w:eastAsia="Times New Roman" w:hAnsi="Times New Roman"/>
          <w:b/>
          <w:bCs/>
          <w:sz w:val="26"/>
          <w:szCs w:val="26"/>
        </w:rPr>
        <w:t xml:space="preserve"> = C</w:t>
      </w:r>
      <w:r w:rsidRPr="007D05B1">
        <w:rPr>
          <w:rFonts w:ascii="Times New Roman" w:eastAsia="Times New Roman" w:hAnsi="Times New Roman"/>
          <w:b/>
          <w:bCs/>
          <w:sz w:val="26"/>
          <w:szCs w:val="26"/>
          <w:vertAlign w:val="subscript"/>
        </w:rPr>
        <w:t>ht</w:t>
      </w:r>
      <w:proofErr w:type="gramStart"/>
      <w:r w:rsidRPr="007D05B1">
        <w:rPr>
          <w:rFonts w:ascii="Times New Roman" w:eastAsia="Times New Roman" w:hAnsi="Times New Roman"/>
          <w:b/>
          <w:bCs/>
          <w:sz w:val="26"/>
          <w:szCs w:val="26"/>
          <w:vertAlign w:val="subscript"/>
        </w:rPr>
        <w:t>,j</w:t>
      </w:r>
      <w:proofErr w:type="gramEnd"/>
      <w:r w:rsidRPr="007D05B1">
        <w:rPr>
          <w:rFonts w:ascii="Times New Roman" w:eastAsia="Times New Roman" w:hAnsi="Times New Roman"/>
          <w:b/>
          <w:bCs/>
          <w:sz w:val="26"/>
          <w:szCs w:val="26"/>
        </w:rPr>
        <w:t xml:space="preserve"> + C</w:t>
      </w:r>
      <w:r w:rsidRPr="007D05B1">
        <w:rPr>
          <w:rFonts w:ascii="Times New Roman" w:eastAsia="Times New Roman" w:hAnsi="Times New Roman"/>
          <w:b/>
          <w:bCs/>
          <w:sz w:val="26"/>
          <w:szCs w:val="26"/>
          <w:vertAlign w:val="subscript"/>
        </w:rPr>
        <w:t>bs,j</w:t>
      </w:r>
      <w:r w:rsidRPr="007D05B1">
        <w:rPr>
          <w:rFonts w:ascii="Times New Roman" w:eastAsia="Times New Roman" w:hAnsi="Times New Roman"/>
          <w:b/>
          <w:bCs/>
          <w:sz w:val="26"/>
          <w:szCs w:val="26"/>
        </w:rPr>
        <w:t xml:space="preserve"> - D</w:t>
      </w:r>
      <w:r w:rsidRPr="007D05B1">
        <w:rPr>
          <w:rFonts w:ascii="Times New Roman" w:eastAsia="Times New Roman" w:hAnsi="Times New Roman"/>
          <w:b/>
          <w:bCs/>
          <w:sz w:val="26"/>
          <w:szCs w:val="26"/>
          <w:vertAlign w:val="subscript"/>
        </w:rPr>
        <w:t>cs,j</w:t>
      </w:r>
    </w:p>
    <w:p w14:paraId="57537D9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Trong đó:</w:t>
      </w:r>
    </w:p>
    <w:p w14:paraId="3906B21F"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vertAlign w:val="subscript"/>
        </w:rPr>
        <w:t>j</w:t>
      </w:r>
      <w:r w:rsidRPr="007D05B1">
        <w:rPr>
          <w:rFonts w:ascii="Times New Roman" w:eastAsia="Times New Roman" w:hAnsi="Times New Roman"/>
          <w:sz w:val="26"/>
          <w:szCs w:val="26"/>
        </w:rPr>
        <w:t xml:space="preserve">: sức chứa còn lại của loại hạ tầng </w:t>
      </w:r>
      <w:r w:rsidRPr="007D05B1">
        <w:rPr>
          <w:rFonts w:ascii="Times New Roman" w:eastAsia="Times New Roman" w:hAnsi="Times New Roman"/>
          <w:i/>
          <w:iCs/>
          <w:sz w:val="26"/>
          <w:szCs w:val="26"/>
        </w:rPr>
        <w:t>j</w:t>
      </w:r>
      <w:r w:rsidRPr="007D05B1">
        <w:rPr>
          <w:rFonts w:ascii="Times New Roman" w:eastAsia="Times New Roman" w:hAnsi="Times New Roman"/>
          <w:sz w:val="26"/>
          <w:szCs w:val="26"/>
        </w:rPr>
        <w:t>;</w:t>
      </w:r>
    </w:p>
    <w:p w14:paraId="50EC310B"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vertAlign w:val="subscript"/>
        </w:rPr>
        <w:t>ht,j</w:t>
      </w:r>
      <w:r w:rsidRPr="007D05B1">
        <w:rPr>
          <w:rFonts w:ascii="Times New Roman" w:eastAsia="Times New Roman" w:hAnsi="Times New Roman"/>
          <w:sz w:val="26"/>
          <w:szCs w:val="26"/>
        </w:rPr>
        <w:t>: năng lực hiện hữu;</w:t>
      </w:r>
    </w:p>
    <w:p w14:paraId="10224E69"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vertAlign w:val="subscript"/>
        </w:rPr>
        <w:t>bs,j</w:t>
      </w:r>
      <w:r w:rsidRPr="007D05B1">
        <w:rPr>
          <w:rFonts w:ascii="Times New Roman" w:eastAsia="Times New Roman" w:hAnsi="Times New Roman"/>
          <w:sz w:val="26"/>
          <w:szCs w:val="26"/>
        </w:rPr>
        <w:t>: năng lực bổ sung của công trình đã được xác định nguồn lực và tiến độ thực hiện;</w:t>
      </w:r>
    </w:p>
    <w:p w14:paraId="0F26DCB4"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vertAlign w:val="subscript"/>
        </w:rPr>
        <w:t>cs</w:t>
      </w:r>
      <w:proofErr w:type="gramStart"/>
      <w:r w:rsidRPr="007D05B1">
        <w:rPr>
          <w:rFonts w:ascii="Times New Roman" w:eastAsia="Times New Roman" w:hAnsi="Times New Roman"/>
          <w:sz w:val="26"/>
          <w:szCs w:val="26"/>
          <w:vertAlign w:val="subscript"/>
        </w:rPr>
        <w:t>,j</w:t>
      </w:r>
      <w:proofErr w:type="gramEnd"/>
      <w:r w:rsidRPr="007D05B1">
        <w:rPr>
          <w:rFonts w:ascii="Times New Roman" w:eastAsia="Times New Roman" w:hAnsi="Times New Roman"/>
          <w:sz w:val="26"/>
          <w:szCs w:val="26"/>
        </w:rPr>
        <w:t>: nhu cầu của dân số và các dự án đã được chấp thuận.</w:t>
      </w:r>
    </w:p>
    <w:p w14:paraId="60ED8E9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4.4. Quy mô dân số tăng thêm không được vượt quá khả năng đáp ứng của thành phần hạ tầng xã hội có mức sức chứa thấp nhất.</w:t>
      </w:r>
    </w:p>
    <w:p w14:paraId="1484800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4.5. Hạ tầng xã hội phải tối thiểu đáp ứng các yêu cầu theo Nghị quyết số 21/2026/NQ-HĐND và quy định có hiệu lực tại thời điểm tính toán.</w:t>
      </w:r>
    </w:p>
    <w:p w14:paraId="3A30CE2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4.6. Khuyến khích bố trí quỹ đất dành cho giáo dục, cây xanh và không gian công cộng đáp ứng đầy đủ quy chuẩn kỹ thuật quốc gia về quy hoạch đô thị và nông thôn đang có hiệu lực.</w:t>
      </w:r>
    </w:p>
    <w:p w14:paraId="7D61BC27"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5. Đánh giá sức chứa hạ tầng kỹ thuật</w:t>
      </w:r>
    </w:p>
    <w:p w14:paraId="297C2C6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Việc đánh giá sức chứa hạ tầng kỹ thuật được thực hiện đối với các hạng mục sau:</w:t>
      </w:r>
    </w:p>
    <w:p w14:paraId="1BBFB480"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Cấp nước;</w:t>
      </w:r>
    </w:p>
    <w:p w14:paraId="247C4082"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Thoát nước mưa;</w:t>
      </w:r>
    </w:p>
    <w:p w14:paraId="4DC382EF"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Thu gom và xử lý nước thải;</w:t>
      </w:r>
    </w:p>
    <w:p w14:paraId="6082DE25"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Cung cấp điện, năng lượng;</w:t>
      </w:r>
    </w:p>
    <w:p w14:paraId="17910AAF"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 Quản lý chất thải rắn;</w:t>
      </w:r>
    </w:p>
    <w:p w14:paraId="32539BDD"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 Hạ tầng viễn thông;</w:t>
      </w:r>
    </w:p>
    <w:p w14:paraId="4C8F4148"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 Hạ tầng phòng cháy, chữa cháy;</w:t>
      </w:r>
    </w:p>
    <w:p w14:paraId="2EC83263" w14:textId="77777777" w:rsidR="001E4870" w:rsidRPr="007D05B1" w:rsidRDefault="001E4870" w:rsidP="001E4870">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 Các hệ thống kỹ thuật khác có ảnh hưởng trực tiếp đến khả năng phát triển.</w:t>
      </w:r>
    </w:p>
    <w:p w14:paraId="5141C18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Chỉ tính năng lực dự kiến bổ sung vào sức chứa khi công trình hạ tầng đã có quyết định đầu tư hoặc có cơ sở chắc chắn về nguồn lực và tiến độ thực hiện phù hợp với giai đoạn phát triển.</w:t>
      </w:r>
    </w:p>
    <w:p w14:paraId="62AA2F68" w14:textId="77777777" w:rsidR="00143735" w:rsidRPr="007D05B1" w:rsidRDefault="00B72DCD"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6</w:t>
      </w:r>
      <w:r w:rsidR="00143735" w:rsidRPr="007D05B1">
        <w:rPr>
          <w:rFonts w:ascii="Times New Roman" w:eastAsia="Times New Roman" w:hAnsi="Times New Roman"/>
          <w:b/>
          <w:bCs/>
          <w:sz w:val="26"/>
          <w:szCs w:val="26"/>
        </w:rPr>
        <w:t>. Xác định sức chứa phát triển tăng thêm</w:t>
      </w:r>
    </w:p>
    <w:p w14:paraId="35E9A10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Sức chứa phát triển tăng thêm tối đa được xác định theo công thức:</w:t>
      </w:r>
    </w:p>
    <w:p w14:paraId="5ED3EAED" w14:textId="77777777" w:rsidR="00143735" w:rsidRPr="007D05B1" w:rsidRDefault="00143735" w:rsidP="000F5D6C">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GFA</w:t>
      </w:r>
      <w:r w:rsidRPr="007D05B1">
        <w:rPr>
          <w:rFonts w:ascii="Times New Roman" w:eastAsia="Times New Roman" w:hAnsi="Times New Roman"/>
          <w:b/>
          <w:bCs/>
          <w:sz w:val="26"/>
          <w:szCs w:val="26"/>
          <w:vertAlign w:val="subscript"/>
        </w:rPr>
        <w:t>max</w:t>
      </w:r>
      <w:r w:rsidRPr="007D05B1">
        <w:rPr>
          <w:rFonts w:ascii="Times New Roman" w:eastAsia="Times New Roman" w:hAnsi="Times New Roman"/>
          <w:b/>
          <w:bCs/>
          <w:sz w:val="26"/>
          <w:szCs w:val="26"/>
        </w:rPr>
        <w:t xml:space="preserve"> = </w:t>
      </w:r>
      <w:proofErr w:type="gramStart"/>
      <w:r w:rsidRPr="007D05B1">
        <w:rPr>
          <w:rFonts w:ascii="Times New Roman" w:eastAsia="Times New Roman" w:hAnsi="Times New Roman"/>
          <w:b/>
          <w:bCs/>
          <w:sz w:val="26"/>
          <w:szCs w:val="26"/>
        </w:rPr>
        <w:t>min(</w:t>
      </w:r>
      <w:proofErr w:type="gramEnd"/>
      <w:r w:rsidRPr="007D05B1">
        <w:rPr>
          <w:rFonts w:ascii="Times New Roman" w:eastAsia="Times New Roman" w:hAnsi="Times New Roman"/>
          <w:b/>
          <w:bCs/>
          <w:sz w:val="26"/>
          <w:szCs w:val="26"/>
        </w:rPr>
        <w:t>GFA</w:t>
      </w:r>
      <w:r w:rsidRPr="007D05B1">
        <w:rPr>
          <w:rFonts w:ascii="Times New Roman" w:eastAsia="Times New Roman" w:hAnsi="Times New Roman"/>
          <w:b/>
          <w:bCs/>
          <w:sz w:val="26"/>
          <w:szCs w:val="26"/>
          <w:vertAlign w:val="subscript"/>
        </w:rPr>
        <w:t>T</w:t>
      </w:r>
      <w:r w:rsidRPr="007D05B1">
        <w:rPr>
          <w:rFonts w:ascii="Times New Roman" w:eastAsia="Times New Roman" w:hAnsi="Times New Roman"/>
          <w:b/>
          <w:bCs/>
          <w:sz w:val="26"/>
          <w:szCs w:val="26"/>
        </w:rPr>
        <w:t>, GFA</w:t>
      </w:r>
      <w:r w:rsidRPr="007D05B1">
        <w:rPr>
          <w:rFonts w:ascii="Times New Roman" w:eastAsia="Times New Roman" w:hAnsi="Times New Roman"/>
          <w:b/>
          <w:bCs/>
          <w:sz w:val="26"/>
          <w:szCs w:val="26"/>
          <w:vertAlign w:val="subscript"/>
        </w:rPr>
        <w:t>S</w:t>
      </w:r>
      <w:r w:rsidRPr="007D05B1">
        <w:rPr>
          <w:rFonts w:ascii="Times New Roman" w:eastAsia="Times New Roman" w:hAnsi="Times New Roman"/>
          <w:b/>
          <w:bCs/>
          <w:sz w:val="26"/>
          <w:szCs w:val="26"/>
        </w:rPr>
        <w:t>, GFA</w:t>
      </w:r>
      <w:r w:rsidRPr="007D05B1">
        <w:rPr>
          <w:rFonts w:ascii="Times New Roman" w:eastAsia="Times New Roman" w:hAnsi="Times New Roman"/>
          <w:b/>
          <w:bCs/>
          <w:sz w:val="26"/>
          <w:szCs w:val="26"/>
          <w:vertAlign w:val="subscript"/>
        </w:rPr>
        <w:t>I</w:t>
      </w:r>
      <w:r w:rsidRPr="007D05B1">
        <w:rPr>
          <w:rFonts w:ascii="Times New Roman" w:eastAsia="Times New Roman" w:hAnsi="Times New Roman"/>
          <w:b/>
          <w:bCs/>
          <w:sz w:val="26"/>
          <w:szCs w:val="26"/>
        </w:rPr>
        <w:t>, GFA</w:t>
      </w:r>
      <w:r w:rsidRPr="007D05B1">
        <w:rPr>
          <w:rFonts w:ascii="Times New Roman" w:eastAsia="Times New Roman" w:hAnsi="Times New Roman"/>
          <w:b/>
          <w:bCs/>
          <w:sz w:val="26"/>
          <w:szCs w:val="26"/>
          <w:vertAlign w:val="subscript"/>
        </w:rPr>
        <w:t>P</w:t>
      </w:r>
      <w:r w:rsidRPr="007D05B1">
        <w:rPr>
          <w:rFonts w:ascii="Times New Roman" w:eastAsia="Times New Roman" w:hAnsi="Times New Roman"/>
          <w:b/>
          <w:bCs/>
          <w:sz w:val="26"/>
          <w:szCs w:val="26"/>
        </w:rPr>
        <w:t>)</w:t>
      </w:r>
    </w:p>
    <w:p w14:paraId="02E86E5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Trong đó:</w:t>
      </w:r>
    </w:p>
    <w:p w14:paraId="29DD3308"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max</w:t>
      </w:r>
      <w:r w:rsidRPr="007D05B1">
        <w:rPr>
          <w:rFonts w:ascii="Times New Roman" w:eastAsia="Times New Roman" w:hAnsi="Times New Roman"/>
          <w:sz w:val="26"/>
          <w:szCs w:val="26"/>
        </w:rPr>
        <w:t>: tổng diện tích sàn phát triển tăng thêm tối đa;</w:t>
      </w:r>
    </w:p>
    <w:p w14:paraId="25FB7B53"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T</w:t>
      </w:r>
      <w:r w:rsidRPr="007D05B1">
        <w:rPr>
          <w:rFonts w:ascii="Times New Roman" w:eastAsia="Times New Roman" w:hAnsi="Times New Roman"/>
          <w:sz w:val="26"/>
          <w:szCs w:val="26"/>
        </w:rPr>
        <w:t>: giới hạn theo giao thông;</w:t>
      </w:r>
    </w:p>
    <w:p w14:paraId="3BB6D939"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S</w:t>
      </w:r>
      <w:r w:rsidRPr="007D05B1">
        <w:rPr>
          <w:rFonts w:ascii="Times New Roman" w:eastAsia="Times New Roman" w:hAnsi="Times New Roman"/>
          <w:sz w:val="26"/>
          <w:szCs w:val="26"/>
        </w:rPr>
        <w:t>: giới hạn theo hạ tầng xã hội;</w:t>
      </w:r>
    </w:p>
    <w:p w14:paraId="70B830C7"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I</w:t>
      </w:r>
      <w:r w:rsidRPr="007D05B1">
        <w:rPr>
          <w:rFonts w:ascii="Times New Roman" w:eastAsia="Times New Roman" w:hAnsi="Times New Roman"/>
          <w:sz w:val="26"/>
          <w:szCs w:val="26"/>
        </w:rPr>
        <w:t>: giới hạn theo hạ tầng kỹ thuật;</w:t>
      </w:r>
    </w:p>
    <w:p w14:paraId="653430A9"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P</w:t>
      </w:r>
      <w:r w:rsidRPr="007D05B1">
        <w:rPr>
          <w:rFonts w:ascii="Times New Roman" w:eastAsia="Times New Roman" w:hAnsi="Times New Roman"/>
          <w:sz w:val="26"/>
          <w:szCs w:val="26"/>
        </w:rPr>
        <w:t>: giới hạn theo quy hoạch, không gian, môi trường và các điều kiện khác.</w:t>
      </w:r>
    </w:p>
    <w:p w14:paraId="1E3BB2AA" w14:textId="77777777" w:rsidR="00143735" w:rsidRPr="007D05B1" w:rsidRDefault="00B72DCD"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7</w:t>
      </w:r>
      <w:r w:rsidR="00143735" w:rsidRPr="007D05B1">
        <w:rPr>
          <w:rFonts w:ascii="Times New Roman" w:eastAsia="Times New Roman" w:hAnsi="Times New Roman"/>
          <w:b/>
          <w:bCs/>
          <w:sz w:val="26"/>
          <w:szCs w:val="26"/>
        </w:rPr>
        <w:t>. Hệ số dự phòng phát triển</w:t>
      </w:r>
    </w:p>
    <w:p w14:paraId="7341F37B"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Hạn ngạch chỉ tiêu được phép phân bổ trong giai đoạn được xác định theo công thức:</w:t>
      </w:r>
    </w:p>
    <w:p w14:paraId="442699B7"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Qgđ = (C - D - U) × (1 - α)</w:t>
      </w:r>
    </w:p>
    <w:p w14:paraId="17E3C7D7"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Trong đó:</w:t>
      </w:r>
    </w:p>
    <w:p w14:paraId="18764C17"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Qgđ: hạn ngạch được phép phân bổ trong giai đoạn;</w:t>
      </w:r>
    </w:p>
    <w:p w14:paraId="0D51BEB0"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C: sức chứa phát triển tăng thêm được phê duyệt;</w:t>
      </w:r>
    </w:p>
    <w:p w14:paraId="140D1F7C"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D: chỉ tiêu đã hiện thực hóa hoặc đã cam kết hợp pháp;</w:t>
      </w:r>
    </w:p>
    <w:p w14:paraId="567D9EB4"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U: phần dành cho dự án ưu tiên, tái định cư, nhiệm vụ công và nghĩa vụ quy hoạch khác;</w:t>
      </w:r>
    </w:p>
    <w:p w14:paraId="2C3E443F"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α: hệ số dự phòng, được xác định riêng cho từng khu vực TOD trong khoảng từ 0,10 đến 0,20.</w:t>
      </w:r>
    </w:p>
    <w:p w14:paraId="6BCCEB18"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Trường hợp áp dụng α ngoài khoảng này phải có đánh giá chuyên ngành và được Hội đồng nhân dân Thành phố xem xét, quyết định. Hạn ngạch chưa sử dụng không tự động chuyển sang giai đoạn sau nếu chưa cập nhật sức chứa và công khai kết quả rà soát.</w:t>
      </w:r>
    </w:p>
    <w:p w14:paraId="2F63D920" w14:textId="77777777" w:rsidR="00143735" w:rsidRPr="007D05B1" w:rsidRDefault="00B72DCD"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8</w:t>
      </w:r>
      <w:r w:rsidR="00143735" w:rsidRPr="007D05B1">
        <w:rPr>
          <w:rFonts w:ascii="Times New Roman" w:eastAsia="Times New Roman" w:hAnsi="Times New Roman"/>
          <w:b/>
          <w:bCs/>
          <w:sz w:val="26"/>
          <w:szCs w:val="26"/>
        </w:rPr>
        <w:t>. Phân bổ hạn ngạch theo chức năng</w:t>
      </w:r>
    </w:p>
    <w:p w14:paraId="248D7F9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Tổng hạn ngạch được phân chia tối thiểu thành:</w:t>
      </w:r>
    </w:p>
    <w:p w14:paraId="6363701B" w14:textId="77777777" w:rsidR="00143735" w:rsidRPr="007D05B1" w:rsidRDefault="00143735" w:rsidP="002628CC">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Q = Q</w:t>
      </w:r>
      <w:r w:rsidRPr="007D05B1">
        <w:rPr>
          <w:rFonts w:ascii="Times New Roman" w:eastAsia="Times New Roman" w:hAnsi="Times New Roman"/>
          <w:b/>
          <w:bCs/>
          <w:sz w:val="26"/>
          <w:szCs w:val="26"/>
          <w:vertAlign w:val="subscript"/>
        </w:rPr>
        <w:t>nh</w:t>
      </w:r>
      <w:r w:rsidRPr="007D05B1">
        <w:rPr>
          <w:rFonts w:ascii="Times New Roman" w:eastAsia="Times New Roman" w:hAnsi="Times New Roman"/>
          <w:b/>
          <w:bCs/>
          <w:sz w:val="26"/>
          <w:szCs w:val="26"/>
        </w:rPr>
        <w:t xml:space="preserve"> + Q</w:t>
      </w:r>
      <w:r w:rsidRPr="007D05B1">
        <w:rPr>
          <w:rFonts w:ascii="Times New Roman" w:eastAsia="Times New Roman" w:hAnsi="Times New Roman"/>
          <w:b/>
          <w:bCs/>
          <w:sz w:val="26"/>
          <w:szCs w:val="26"/>
          <w:vertAlign w:val="subscript"/>
        </w:rPr>
        <w:t>k</w:t>
      </w:r>
    </w:p>
    <w:p w14:paraId="78D0AFDF"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Trong đó:</w:t>
      </w:r>
    </w:p>
    <w:p w14:paraId="78F7E5B6"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Q</w:t>
      </w:r>
      <w:r w:rsidRPr="007D05B1">
        <w:rPr>
          <w:rFonts w:ascii="Times New Roman" w:eastAsia="Times New Roman" w:hAnsi="Times New Roman"/>
          <w:sz w:val="26"/>
          <w:szCs w:val="26"/>
          <w:vertAlign w:val="subscript"/>
        </w:rPr>
        <w:t>nh</w:t>
      </w:r>
      <w:r w:rsidRPr="007D05B1">
        <w:rPr>
          <w:rFonts w:ascii="Times New Roman" w:eastAsia="Times New Roman" w:hAnsi="Times New Roman"/>
          <w:sz w:val="26"/>
          <w:szCs w:val="26"/>
        </w:rPr>
        <w:t>: hạn ngạch diện tích sàn nhà ở;</w:t>
      </w:r>
    </w:p>
    <w:p w14:paraId="59345FF1"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Q</w:t>
      </w:r>
      <w:r w:rsidRPr="007D05B1">
        <w:rPr>
          <w:rFonts w:ascii="Times New Roman" w:eastAsia="Times New Roman" w:hAnsi="Times New Roman"/>
          <w:sz w:val="26"/>
          <w:szCs w:val="26"/>
          <w:vertAlign w:val="subscript"/>
        </w:rPr>
        <w:t>k</w:t>
      </w:r>
      <w:r w:rsidRPr="007D05B1">
        <w:rPr>
          <w:rFonts w:ascii="Times New Roman" w:eastAsia="Times New Roman" w:hAnsi="Times New Roman"/>
          <w:sz w:val="26"/>
          <w:szCs w:val="26"/>
        </w:rPr>
        <w:t>: hạn ngạch diện tích sàn phi nhà ở.</w:t>
      </w:r>
    </w:p>
    <w:p w14:paraId="49517EE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Hạn ngạch Q</w:t>
      </w:r>
      <w:r w:rsidRPr="007D05B1">
        <w:rPr>
          <w:rFonts w:ascii="Times New Roman" w:eastAsia="Times New Roman" w:hAnsi="Times New Roman"/>
          <w:sz w:val="26"/>
          <w:szCs w:val="26"/>
          <w:vertAlign w:val="subscript"/>
        </w:rPr>
        <w:t>k</w:t>
      </w:r>
      <w:r w:rsidRPr="007D05B1">
        <w:rPr>
          <w:rFonts w:ascii="Times New Roman" w:eastAsia="Times New Roman" w:hAnsi="Times New Roman"/>
          <w:sz w:val="26"/>
          <w:szCs w:val="26"/>
        </w:rPr>
        <w:t xml:space="preserve"> có thể tiếp tục được phân chia theo các chức năng thương mại, dịch vụ, văn phòng, lưu trú, giáo dục, y tế và các chức năng khác.</w:t>
      </w:r>
    </w:p>
    <w:p w14:paraId="567D983D" w14:textId="77777777" w:rsidR="00143735" w:rsidRPr="007D05B1" w:rsidRDefault="00B72DCD"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9</w:t>
      </w:r>
      <w:r w:rsidR="00143735" w:rsidRPr="007D05B1">
        <w:rPr>
          <w:rFonts w:ascii="Times New Roman" w:eastAsia="Times New Roman" w:hAnsi="Times New Roman"/>
          <w:b/>
          <w:bCs/>
          <w:sz w:val="26"/>
          <w:szCs w:val="26"/>
        </w:rPr>
        <w:t>. Quy đổi dân số và căn hộ</w:t>
      </w:r>
    </w:p>
    <w:p w14:paraId="2B464AD5"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lastRenderedPageBreak/>
        <w:t>Dân số tăng thêm ở giai đoạn quy hoạch được xác định theo công thức: Pbs = GFAnh / 32.</w:t>
      </w:r>
    </w:p>
    <w:p w14:paraId="42B18BB8"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Trong đó Pbs là dân số tăng thêm; GFAnh là diện tích sàn nhà ở tăng thêm; 32 m²/người là chỉ tiêu tham chiếu phục vụ quản lý hạn ngạch, không phải tiêu chuẩn diện tích căn hộ.</w:t>
      </w:r>
    </w:p>
    <w:p w14:paraId="3049F07B"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Khi cần quy đổi sơ bộ sang số căn hộ, áp dụng N = Pbs / H, với H = 3,5 người/căn hộ theo Quyết định số 32/2025/QĐ-UBND. Từ hai hệ số tham chiếu, 01 căn hộ tương đương khoảng 112 m² sàn nhà ở; giá trị này không phải tiêu chuẩn diện tích căn hộ hoặc số căn được mặc nhiên chấp thuận.</w:t>
      </w:r>
    </w:p>
    <w:p w14:paraId="1F9B61F9"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Ở giai đoạn dự án, dân số và số căn hộ phải được xác định theo diện tích sử dụng, số phòng ở, cơ cấu căn hộ và phương pháp có hiệu lực của Thành phố; đồng thời không vượt dân số được phân bổ và sức chứa hạ tầng.</w:t>
      </w:r>
    </w:p>
    <w:p w14:paraId="270A4548"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Hạn ngạch nhà ở được theo dõi riêng theo nhà ở xã hội, nhà ở giá phù hợp thuộc chương trình được phê duyệt và nhà ở thương mại.</w:t>
      </w:r>
    </w:p>
    <w:p w14:paraId="50109AFF" w14:textId="77777777" w:rsidR="00143735" w:rsidRPr="007D05B1" w:rsidRDefault="00143735" w:rsidP="001E4870">
      <w:pPr>
        <w:keepNext/>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PHỤ LỤC II</w:t>
      </w:r>
    </w:p>
    <w:p w14:paraId="2816F930" w14:textId="77777777" w:rsidR="00143735" w:rsidRPr="007D05B1" w:rsidRDefault="00143735" w:rsidP="001E4870">
      <w:pPr>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NGUỒN HÌNH THÀNH, PHÂN LOẠI VÀ QUY ĐỔI CHỈ TIÊU QUY HOẠCH CHUYỂN NHƯỢNG</w:t>
      </w:r>
    </w:p>
    <w:p w14:paraId="14626408"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 Phân loại nguồn chỉ tiêu</w:t>
      </w:r>
    </w:p>
    <w:p w14:paraId="1DA4463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1.1. Chỉ tiêu dự trữ</w:t>
      </w:r>
    </w:p>
    <w:p w14:paraId="4226BED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Là phần sức chứa được phép phát triển nhưng chưa được phân bổ cho dự án cụ thể.</w:t>
      </w:r>
    </w:p>
    <w:p w14:paraId="6374188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1.2. Chỉ tiêu từ khu vực cho</w:t>
      </w:r>
    </w:p>
    <w:p w14:paraId="77DE6F8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Là phần chỉ tiêu được giảm tại dự án, công trình hoặc khu vực được xác định phù hợp để giảm cường độ phát triển, bao gồm cả khu vực trong và ngoài khu vực TOD được chỉ định.</w:t>
      </w:r>
    </w:p>
    <w:p w14:paraId="2B6A530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1.3. Chỉ tiêu hoàn trả không bồi hoàn</w:t>
      </w:r>
    </w:p>
    <w:p w14:paraId="28FF450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Bao gồm phần chỉ tiêu:</w:t>
      </w:r>
    </w:p>
    <w:p w14:paraId="6407D41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Được chủ thể tự nguyện hoàn trả;</w:t>
      </w:r>
    </w:p>
    <w:p w14:paraId="1B605930"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Hết thời hạn mà chưa sử dụng và không được gia hạn;</w:t>
      </w:r>
    </w:p>
    <w:p w14:paraId="5A4A505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Bị thu hồi;</w:t>
      </w:r>
    </w:p>
    <w:p w14:paraId="6FF8110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Không còn nhu cầu sử dụng.</w:t>
      </w:r>
    </w:p>
    <w:p w14:paraId="1AB174E9"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2. Các trường hợp ưu tiên xác định khu vực cho</w:t>
      </w:r>
    </w:p>
    <w:p w14:paraId="24DED9C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Có thể ưu tiên xác định khu vực cho đối với:</w:t>
      </w:r>
    </w:p>
    <w:p w14:paraId="1456481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Khu vực cần bảo tồn công trình, di sản hoặc cảnh quan;</w:t>
      </w:r>
    </w:p>
    <w:p w14:paraId="4D178FAA"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Khu vực cần tăng cây xanh, không gian mở;</w:t>
      </w:r>
    </w:p>
    <w:p w14:paraId="1BEF3E4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Khu vực hạn chế phát triển do điều kiện hạ tầng;</w:t>
      </w:r>
    </w:p>
    <w:p w14:paraId="44351B9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Khu vực thực hiện chỉnh trang, tái thiết theo định hướng giảm mật độ;</w:t>
      </w:r>
    </w:p>
    <w:p w14:paraId="44710624"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Khu vực có chủ thể tự nguyện giảm phần chỉ tiêu chưa sử dụng;</w:t>
      </w:r>
    </w:p>
    <w:p w14:paraId="3F055E15"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f)</w:t>
      </w:r>
      <w:r w:rsidRPr="007D05B1">
        <w:rPr>
          <w:rFonts w:ascii="Times New Roman" w:eastAsia="Times New Roman" w:hAnsi="Times New Roman"/>
          <w:sz w:val="26"/>
          <w:szCs w:val="26"/>
        </w:rPr>
        <w:tab/>
        <w:t>Các khu vực khác được xác định trong quy hoạch TOD.</w:t>
      </w:r>
    </w:p>
    <w:p w14:paraId="4BF71EA6"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3. Các trường hợp ưu tiên xác định khu vực nhận</w:t>
      </w:r>
    </w:p>
    <w:p w14:paraId="625FAA0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Có thể ưu tiên xác định khu vực nhận đối với:</w:t>
      </w:r>
    </w:p>
    <w:p w14:paraId="0B0AEC0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Khu vực có khả năng tiếp cận trực tiếp nhà ga;</w:t>
      </w:r>
    </w:p>
    <w:p w14:paraId="3D0E347E"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Khu vực có năng lực giao thông công cộng cao;</w:t>
      </w:r>
    </w:p>
    <w:p w14:paraId="65009F16"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Khu đất lớn có khả năng tổ chức phát triển hỗn hợp;</w:t>
      </w:r>
    </w:p>
    <w:p w14:paraId="63E3FC9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Khu vực tái phát triển, cải tạo, chỉnh trang đô thị;</w:t>
      </w:r>
    </w:p>
    <w:p w14:paraId="3C5EE2E9"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Khu vực có khả năng bổ sung nhà ở xã hội, nhà ở giá phù hợp, việc làm và dịch vụ;</w:t>
      </w:r>
    </w:p>
    <w:p w14:paraId="1F33D040"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Khu vực đã được đầu tư hoặc cam kết đầu tư hạ tầng đáp ứng phần phát triển tăng thêm.</w:t>
      </w:r>
    </w:p>
    <w:p w14:paraId="21C8E54B"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4. Đơn vị chuyển nhượng</w:t>
      </w:r>
    </w:p>
    <w:p w14:paraId="3311310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4.1. Diện tích sàn nhà ở được tính bằng m² sàn xây dựng và có thể được quy đổi thành căn hộ, dân số theo quy định quản lý cụ thể.</w:t>
      </w:r>
    </w:p>
    <w:p w14:paraId="3591ED7F"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4.2. Diện tích sàn phi nhà ở được tính bằng m² sàn xây dựng.</w:t>
      </w:r>
    </w:p>
    <w:p w14:paraId="3A50FDD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4.3. Trường hợp cần quy đổi nhiều chức năng về một đơn vị chung, diện tích sàn xây dựng quy đổi được xác định theo công thức:</w:t>
      </w:r>
    </w:p>
    <w:p w14:paraId="50265594" w14:textId="77777777" w:rsidR="00143735" w:rsidRPr="007D05B1" w:rsidRDefault="00143735" w:rsidP="007B70C2">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GFA</w:t>
      </w:r>
      <w:r w:rsidRPr="007D05B1">
        <w:rPr>
          <w:rFonts w:ascii="Times New Roman" w:eastAsia="Times New Roman" w:hAnsi="Times New Roman"/>
          <w:b/>
          <w:bCs/>
          <w:sz w:val="26"/>
          <w:szCs w:val="26"/>
          <w:vertAlign w:val="subscript"/>
        </w:rPr>
        <w:t>qđ</w:t>
      </w:r>
      <w:r w:rsidRPr="007D05B1">
        <w:rPr>
          <w:rFonts w:ascii="Times New Roman" w:eastAsia="Times New Roman" w:hAnsi="Times New Roman"/>
          <w:b/>
          <w:bCs/>
          <w:sz w:val="26"/>
          <w:szCs w:val="26"/>
        </w:rPr>
        <w:t xml:space="preserve"> = </w:t>
      </w:r>
      <w:proofErr w:type="gramStart"/>
      <w:r w:rsidRPr="007D05B1">
        <w:rPr>
          <w:rFonts w:ascii="Times New Roman" w:eastAsia="Times New Roman" w:hAnsi="Times New Roman"/>
          <w:b/>
          <w:bCs/>
          <w:sz w:val="26"/>
          <w:szCs w:val="26"/>
        </w:rPr>
        <w:t>Σ(</w:t>
      </w:r>
      <w:proofErr w:type="gramEnd"/>
      <w:r w:rsidRPr="007D05B1">
        <w:rPr>
          <w:rFonts w:ascii="Times New Roman" w:eastAsia="Times New Roman" w:hAnsi="Times New Roman"/>
          <w:b/>
          <w:bCs/>
          <w:sz w:val="26"/>
          <w:szCs w:val="26"/>
        </w:rPr>
        <w:t>GFA</w:t>
      </w:r>
      <w:r w:rsidRPr="007D05B1">
        <w:rPr>
          <w:rFonts w:ascii="Times New Roman" w:eastAsia="Times New Roman" w:hAnsi="Times New Roman"/>
          <w:b/>
          <w:bCs/>
          <w:sz w:val="26"/>
          <w:szCs w:val="26"/>
          <w:vertAlign w:val="subscript"/>
        </w:rPr>
        <w:t>i</w:t>
      </w:r>
      <w:r w:rsidRPr="007D05B1">
        <w:rPr>
          <w:rFonts w:ascii="Times New Roman" w:eastAsia="Times New Roman" w:hAnsi="Times New Roman"/>
          <w:b/>
          <w:bCs/>
          <w:sz w:val="26"/>
          <w:szCs w:val="26"/>
        </w:rPr>
        <w:t xml:space="preserve"> × k</w:t>
      </w:r>
      <w:r w:rsidRPr="007D05B1">
        <w:rPr>
          <w:rFonts w:ascii="Times New Roman" w:eastAsia="Times New Roman" w:hAnsi="Times New Roman"/>
          <w:b/>
          <w:bCs/>
          <w:sz w:val="26"/>
          <w:szCs w:val="26"/>
          <w:vertAlign w:val="subscript"/>
        </w:rPr>
        <w:t>i</w:t>
      </w:r>
      <w:r w:rsidRPr="007D05B1">
        <w:rPr>
          <w:rFonts w:ascii="Times New Roman" w:eastAsia="Times New Roman" w:hAnsi="Times New Roman"/>
          <w:b/>
          <w:bCs/>
          <w:sz w:val="26"/>
          <w:szCs w:val="26"/>
        </w:rPr>
        <w:t>)</w:t>
      </w:r>
    </w:p>
    <w:p w14:paraId="69ADE50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Trong đó:</w:t>
      </w:r>
    </w:p>
    <w:p w14:paraId="4F375A30"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qđ</w:t>
      </w:r>
      <w:r w:rsidRPr="007D05B1">
        <w:rPr>
          <w:rFonts w:ascii="Times New Roman" w:eastAsia="Times New Roman" w:hAnsi="Times New Roman"/>
          <w:sz w:val="26"/>
          <w:szCs w:val="26"/>
        </w:rPr>
        <w:t>: diện tích sàn quy đổi;</w:t>
      </w:r>
    </w:p>
    <w:p w14:paraId="198BC2D3"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GFA</w:t>
      </w:r>
      <w:r w:rsidRPr="007D05B1">
        <w:rPr>
          <w:rFonts w:ascii="Times New Roman" w:eastAsia="Times New Roman" w:hAnsi="Times New Roman"/>
          <w:sz w:val="26"/>
          <w:szCs w:val="26"/>
          <w:vertAlign w:val="subscript"/>
        </w:rPr>
        <w:t>i</w:t>
      </w:r>
      <w:r w:rsidRPr="007D05B1">
        <w:rPr>
          <w:rFonts w:ascii="Times New Roman" w:eastAsia="Times New Roman" w:hAnsi="Times New Roman"/>
          <w:sz w:val="26"/>
          <w:szCs w:val="26"/>
        </w:rPr>
        <w:t xml:space="preserve">: diện tích sàn của chức năng </w:t>
      </w:r>
      <w:r w:rsidRPr="007D05B1">
        <w:rPr>
          <w:rFonts w:ascii="Times New Roman" w:eastAsia="Times New Roman" w:hAnsi="Times New Roman"/>
          <w:i/>
          <w:iCs/>
          <w:sz w:val="26"/>
          <w:szCs w:val="26"/>
        </w:rPr>
        <w:t>i</w:t>
      </w:r>
      <w:r w:rsidRPr="007D05B1">
        <w:rPr>
          <w:rFonts w:ascii="Times New Roman" w:eastAsia="Times New Roman" w:hAnsi="Times New Roman"/>
          <w:sz w:val="26"/>
          <w:szCs w:val="26"/>
        </w:rPr>
        <w:t>;</w:t>
      </w:r>
    </w:p>
    <w:p w14:paraId="21BDD4E6" w14:textId="77777777" w:rsidR="00143735" w:rsidRPr="007D05B1" w:rsidRDefault="00143735">
      <w:pPr>
        <w:numPr>
          <w:ilvl w:val="0"/>
          <w:numId w:val="1"/>
        </w:numPr>
        <w:tabs>
          <w:tab w:val="clear" w:pos="720"/>
        </w:tabs>
        <w:spacing w:before="60" w:after="60" w:line="276" w:lineRule="auto"/>
        <w:ind w:left="1080"/>
        <w:jc w:val="both"/>
        <w:rPr>
          <w:rFonts w:ascii="Times New Roman" w:eastAsia="Times New Roman" w:hAnsi="Times New Roman"/>
          <w:sz w:val="26"/>
          <w:szCs w:val="26"/>
        </w:rPr>
      </w:pPr>
      <w:r w:rsidRPr="007D05B1">
        <w:rPr>
          <w:rFonts w:ascii="Times New Roman" w:eastAsia="Times New Roman" w:hAnsi="Times New Roman"/>
          <w:sz w:val="26"/>
          <w:szCs w:val="26"/>
        </w:rPr>
        <w:t>k</w:t>
      </w:r>
      <w:r w:rsidRPr="007D05B1">
        <w:rPr>
          <w:rFonts w:ascii="Times New Roman" w:eastAsia="Times New Roman" w:hAnsi="Times New Roman"/>
          <w:sz w:val="26"/>
          <w:szCs w:val="26"/>
          <w:vertAlign w:val="subscript"/>
        </w:rPr>
        <w:t>i</w:t>
      </w:r>
      <w:r w:rsidRPr="007D05B1">
        <w:rPr>
          <w:rFonts w:ascii="Times New Roman" w:eastAsia="Times New Roman" w:hAnsi="Times New Roman"/>
          <w:sz w:val="26"/>
          <w:szCs w:val="26"/>
        </w:rPr>
        <w:t xml:space="preserve">: hệ số quy đổi phản ánh tác động của chức năng </w:t>
      </w:r>
      <w:r w:rsidRPr="007D05B1">
        <w:rPr>
          <w:rFonts w:ascii="Times New Roman" w:eastAsia="Times New Roman" w:hAnsi="Times New Roman"/>
          <w:i/>
          <w:iCs/>
          <w:sz w:val="26"/>
          <w:szCs w:val="26"/>
        </w:rPr>
        <w:t>i</w:t>
      </w:r>
      <w:r w:rsidRPr="007D05B1">
        <w:rPr>
          <w:rFonts w:ascii="Times New Roman" w:eastAsia="Times New Roman" w:hAnsi="Times New Roman"/>
          <w:sz w:val="26"/>
          <w:szCs w:val="26"/>
        </w:rPr>
        <w:t xml:space="preserve"> đối với hạ tầng hoặc giá trị kinh tế, tùy mục đích tính toán.</w:t>
      </w:r>
    </w:p>
    <w:p w14:paraId="0A9D308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Không sử dụng cùng một hệ số quy đổi cho đánh giá giao thông và xác định nghĩa vụ tài chính trong trường hợp bản chất tác động khác nhau.</w:t>
      </w:r>
    </w:p>
    <w:p w14:paraId="4B5B94FE"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4.4. Đối với sàng lọc giao thông dự án hỗn hợp, quy đổi theo công thức E = Sretail + 0,5 × Soffice; theo đó 01 m² sàn thương mại bán lẻ tương đương 02 m² sàn văn phòng.</w:t>
      </w:r>
    </w:p>
    <w:p w14:paraId="136FA7F9"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4.5. Hệ số tại mục 4.4 chỉ dùng cho sàng lọc giao thông, không dùng để chuyển đổi chức năng quy hoạch, dân số, quyền phát triển hoặc xác định nghĩa vụ tài chính.</w:t>
      </w:r>
    </w:p>
    <w:p w14:paraId="3D8BAAD0"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5. Cơ chế ghi tăng, ghi giảm</w:t>
      </w:r>
    </w:p>
    <w:p w14:paraId="3224BF9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Mỗi giao dịch chuyển nhượng phải đồng thời thực hiện ghi giảm tại nguồn chỉ tiêu và ghi tăng tương ứng tại khu vực nhận:</w:t>
      </w:r>
    </w:p>
    <w:p w14:paraId="46D7998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Nguồn chỉ tiêu: -X m²</w:t>
      </w:r>
    </w:p>
    <w:p w14:paraId="582A231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Khu vực nhận: +X m²</w:t>
      </w:r>
    </w:p>
    <w:p w14:paraId="63920386"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áp dụng hệ số quy đổi:</w:t>
      </w:r>
    </w:p>
    <w:p w14:paraId="739E0C6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Nguồn chỉ tiêu: -X đơn vị quy đổi</w:t>
      </w:r>
    </w:p>
    <w:p w14:paraId="114F051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Khu vực nhận: +X đơn vị quy đổi</w:t>
      </w:r>
    </w:p>
    <w:p w14:paraId="1F83216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Tổng số dư của hệ thống phải luôn bảo đảm:</w:t>
      </w:r>
    </w:p>
    <w:p w14:paraId="04A4D19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Số dư cuối kỳ = Số dư đầu kỳ + chỉ tiêu mới được xác lập + chỉ tiêu hoàn trả + chỉ tiêu đã hủy bỏ - chỉ tiêu đã phân bổ.</w:t>
      </w:r>
    </w:p>
    <w:p w14:paraId="42098D02" w14:textId="77777777" w:rsidR="001E4870" w:rsidRPr="007D05B1" w:rsidRDefault="001E4870">
      <w:pPr>
        <w:spacing w:after="0" w:line="240" w:lineRule="auto"/>
        <w:rPr>
          <w:rFonts w:ascii="Times New Roman" w:eastAsia="Times New Roman" w:hAnsi="Times New Roman"/>
          <w:sz w:val="26"/>
          <w:szCs w:val="26"/>
        </w:rPr>
      </w:pPr>
      <w:r w:rsidRPr="007D05B1">
        <w:rPr>
          <w:rFonts w:ascii="Times New Roman" w:eastAsia="Times New Roman" w:hAnsi="Times New Roman"/>
          <w:sz w:val="26"/>
          <w:szCs w:val="26"/>
        </w:rPr>
        <w:br w:type="page"/>
      </w:r>
    </w:p>
    <w:p w14:paraId="037368F0" w14:textId="77777777" w:rsidR="00143735" w:rsidRPr="007D05B1" w:rsidRDefault="00143735" w:rsidP="001E4870">
      <w:pPr>
        <w:keepNext/>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lastRenderedPageBreak/>
        <w:t>PHỤ LỤC III</w:t>
      </w:r>
    </w:p>
    <w:p w14:paraId="7D8D5F2E" w14:textId="77777777" w:rsidR="00143735" w:rsidRPr="007D05B1" w:rsidRDefault="00143735" w:rsidP="001E4870">
      <w:pPr>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QUY TRÌNH CHUYỂN NHƯỢNG CHỈ TIÊU QUY HOẠCH</w:t>
      </w:r>
    </w:p>
    <w:p w14:paraId="3389570E"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 Công bố thông tin trước khi tiếp nhận hồ sơ</w:t>
      </w:r>
    </w:p>
    <w:p w14:paraId="36DD8AE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Cơ quan đầu mối công bố tối thiểu các thông tin sau:</w:t>
      </w:r>
    </w:p>
    <w:p w14:paraId="6C2793F1"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Ranh giới khu vực TOD;</w:t>
      </w:r>
    </w:p>
    <w:p w14:paraId="45636954"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Tổng sức chứa phát triển tăng thêm;</w:t>
      </w:r>
    </w:p>
    <w:p w14:paraId="11CCA13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Hạn ngạch của giai đoạn;</w:t>
      </w:r>
    </w:p>
    <w:p w14:paraId="7250C14B"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Hạn ngạch đã sử dụng;</w:t>
      </w:r>
    </w:p>
    <w:p w14:paraId="1F145B0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Hạn ngạch còn lại;</w:t>
      </w:r>
    </w:p>
    <w:p w14:paraId="6AF5BE7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Danh mục khu vực định hướng cho chỉ tiêu;</w:t>
      </w:r>
    </w:p>
    <w:p w14:paraId="7099A729"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Danh mục khu vực có khả năng nhận chỉ tiêu;</w:t>
      </w:r>
    </w:p>
    <w:p w14:paraId="51AEC38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Các giới hạn hạ tầng và điều kiện áp dụng.</w:t>
      </w:r>
    </w:p>
    <w:p w14:paraId="388F368E"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2. Hồ sơ đề nghị nhận chỉ tiêu</w:t>
      </w:r>
    </w:p>
    <w:p w14:paraId="692CC7B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Hồ sơ bao gồm:</w:t>
      </w:r>
    </w:p>
    <w:p w14:paraId="75F79BE9"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Văn bản đề nghị;</w:t>
      </w:r>
    </w:p>
    <w:p w14:paraId="37253C5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Hồ sơ pháp lý của chủ đầu tư;</w:t>
      </w:r>
    </w:p>
    <w:p w14:paraId="2A87E73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Hồ sơ về quyền sử dụng đất hoặc quyền thực hiện dự án;</w:t>
      </w:r>
    </w:p>
    <w:p w14:paraId="3ABED3A5"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Bản vẽ vị trí khu đất;</w:t>
      </w:r>
    </w:p>
    <w:p w14:paraId="45CA3B8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Chỉ tiêu quy hoạch hiện hành;</w:t>
      </w:r>
    </w:p>
    <w:p w14:paraId="7A5A9B0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Chỉ tiêu đề nghị tăng;</w:t>
      </w:r>
    </w:p>
    <w:p w14:paraId="00FA7ED1"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Phương án kiến trúc, sử dụng đất sơ bộ;</w:t>
      </w:r>
    </w:p>
    <w:p w14:paraId="24DFC39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Bảng tính diện tích sàn và dân số;</w:t>
      </w:r>
    </w:p>
    <w:p w14:paraId="37600D8B"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i) Báo cáo đánh giá sơ bộ tác động giao thông khi phần tăng thêm đạt ngưỡng quy định tại mục 3.6 Phụ lục I; TIA độc lập khi dự án vượt 10% sức chứa lõi TOD hoặc thuộc trường hợp khác quy định tại mục đó;</w:t>
      </w:r>
    </w:p>
    <w:p w14:paraId="7AF4529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j)</w:t>
      </w:r>
      <w:r w:rsidRPr="007D05B1">
        <w:rPr>
          <w:rFonts w:ascii="Times New Roman" w:eastAsia="Times New Roman" w:hAnsi="Times New Roman"/>
          <w:sz w:val="26"/>
          <w:szCs w:val="26"/>
        </w:rPr>
        <w:tab/>
        <w:t>Phương án thực hiện nghĩa vụ tài chính;</w:t>
      </w:r>
    </w:p>
    <w:p w14:paraId="0A1253B7"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w:t>
      </w:r>
      <w:r w:rsidRPr="007D05B1">
        <w:rPr>
          <w:rFonts w:ascii="Times New Roman" w:eastAsia="Times New Roman" w:hAnsi="Times New Roman"/>
          <w:sz w:val="26"/>
          <w:szCs w:val="26"/>
        </w:rPr>
        <w:tab/>
        <w:t>Tài liệu về nguồn chỉ tiêu trong trường hợp đề xuất chuyển từ khu vực cho;</w:t>
      </w:r>
    </w:p>
    <w:p w14:paraId="7C223E90"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l)</w:t>
      </w:r>
      <w:r w:rsidRPr="007D05B1">
        <w:rPr>
          <w:rFonts w:ascii="Times New Roman" w:eastAsia="Times New Roman" w:hAnsi="Times New Roman"/>
          <w:sz w:val="26"/>
          <w:szCs w:val="26"/>
        </w:rPr>
        <w:tab/>
        <w:t>Các tài liệu khác theo yêu cầu của cơ quan có thẩm quyền.</w:t>
      </w:r>
    </w:p>
    <w:p w14:paraId="48C70529"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3. Kiểm tra hồ sơ và điều kiện ban đầu</w:t>
      </w:r>
    </w:p>
    <w:p w14:paraId="161DD0A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Cơ quan đầu mối kiểm tra:</w:t>
      </w:r>
    </w:p>
    <w:p w14:paraId="10D9AF6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Tính đầy đủ của hồ sơ;</w:t>
      </w:r>
    </w:p>
    <w:p w14:paraId="0A2B6A2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Vị trí dự án;</w:t>
      </w:r>
    </w:p>
    <w:p w14:paraId="3E94ECB5"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Tính pháp lý của chủ thể;</w:t>
      </w:r>
    </w:p>
    <w:p w14:paraId="7249A39B"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Khả năng tiếp nhận chỉ tiêu theo quy hoạch;</w:t>
      </w:r>
    </w:p>
    <w:p w14:paraId="0E1678EF"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e)</w:t>
      </w:r>
      <w:r w:rsidRPr="007D05B1">
        <w:rPr>
          <w:rFonts w:ascii="Times New Roman" w:eastAsia="Times New Roman" w:hAnsi="Times New Roman"/>
          <w:sz w:val="26"/>
          <w:szCs w:val="26"/>
        </w:rPr>
        <w:tab/>
        <w:t>Hạn ngạch còn lại.</w:t>
      </w:r>
    </w:p>
    <w:p w14:paraId="0F2A139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Hồ sơ không đáp ứng điều kiện cơ bản được trả lại và phải nêu rõ lý do.</w:t>
      </w:r>
    </w:p>
    <w:p w14:paraId="5C3F16A5"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4. Xác định nguồn chỉ tiêu</w:t>
      </w:r>
    </w:p>
    <w:p w14:paraId="7B54A30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Nguồn chỉ tiêu được xác định theo thứ tự:</w:t>
      </w:r>
    </w:p>
    <w:p w14:paraId="78FE9994"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Quỹ dự trữ chỉ tiêu quy hoạch;</w:t>
      </w:r>
    </w:p>
    <w:p w14:paraId="5A56CDC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Khu vực cho được xác định trước;</w:t>
      </w:r>
    </w:p>
    <w:p w14:paraId="4F20633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Khu vực cho do các bên đề xuất;</w:t>
      </w:r>
    </w:p>
    <w:p w14:paraId="288B29B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Nguồn chỉ tiêu hoàn trả hoặc thu hồi.</w:t>
      </w:r>
    </w:p>
    <w:p w14:paraId="7DCC518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Mỗi nguồn chỉ tiêu phải có mã định danh để bảo đảm khả năng truy xuất.</w:t>
      </w:r>
    </w:p>
    <w:p w14:paraId="2260B882"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5. Thẩm định quy hoạch</w:t>
      </w:r>
    </w:p>
    <w:p w14:paraId="73930E7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Cơ quan chuyên môn về quy hoạch kiểm tra:</w:t>
      </w:r>
    </w:p>
    <w:p w14:paraId="6B9FEB9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Chức năng sử dụng đất;</w:t>
      </w:r>
    </w:p>
    <w:p w14:paraId="711EB8FA"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Hệ số sử dụng đất;</w:t>
      </w:r>
    </w:p>
    <w:p w14:paraId="42AB5205"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Mật độ xây dựng;</w:t>
      </w:r>
    </w:p>
    <w:p w14:paraId="417665C1"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Tầng cao;</w:t>
      </w:r>
    </w:p>
    <w:p w14:paraId="762A7214"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Không gian cảnh quan;</w:t>
      </w:r>
    </w:p>
    <w:p w14:paraId="556768B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Cấu trúc đô thị;</w:t>
      </w:r>
    </w:p>
    <w:p w14:paraId="7B2933A1"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Tính tương thích với quy hoạch TOD;</w:t>
      </w:r>
    </w:p>
    <w:p w14:paraId="76AEB10E"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Khả năng ghi nhận phần chỉ tiêu tăng thêm.</w:t>
      </w:r>
    </w:p>
    <w:p w14:paraId="26CB52CF"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6. Thẩm định sức chứa</w:t>
      </w:r>
    </w:p>
    <w:p w14:paraId="6134984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Việc thẩm định sức chứa thực hiện theo Phụ lục I ban hành kèm theo Nghị quyết này.</w:t>
      </w:r>
    </w:p>
    <w:p w14:paraId="39C1D346"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đề nghị tăng chỉ tiêu có quy mô nhỏ, Ủy ban nhân dân Thành phố có thể quy định ngưỡng áp dụng thủ tục đánh giá rút gọn nhưng phải bảo đảm không vượt hạn ngạch và không làm phát sinh điểm nghẽn hạ tầng.</w:t>
      </w:r>
    </w:p>
    <w:p w14:paraId="5BD30037"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6.1. Đối với dự án nằm trong Traffic Capacity và các giả định của đánh giá tổng thể TOD, cơ quan thẩm định chỉ kiểm tra phần gia tăng, sức chứa còn lại và điều kiện tiếp cận; không yêu cầu chạy lại toàn bộ mô hình giao thông.</w:t>
      </w:r>
    </w:p>
    <w:p w14:paraId="48BC2B60"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6.2. TIA độc lập phải sử dụng dữ liệu nền, điểm kiểm soát và phương pháp nhất quán với đánh giá tổng thể TOD; trường hợp thay đổi giả định phải giải trình và cập nhật mô hình có liên quan.</w:t>
      </w:r>
    </w:p>
    <w:p w14:paraId="75D8E334"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7. Xác định phương thức phân bổ</w:t>
      </w:r>
    </w:p>
    <w:p w14:paraId="1C91403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7.1. Phân bổ trực tiếp được xem xét trong các trường hợp:</w:t>
      </w:r>
    </w:p>
    <w:p w14:paraId="0B5987C7"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Chỉ có một chủ thể đủ điều kiện;</w:t>
      </w:r>
    </w:p>
    <w:p w14:paraId="04BA923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Chỉ tiêu gắn với mục tiêu công cộng cụ thể;</w:t>
      </w:r>
    </w:p>
    <w:p w14:paraId="048744C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Việc phân bổ nhằm thực hiện dự án ưu tiên được cơ quan có thẩm quyền xác định;</w:t>
      </w:r>
    </w:p>
    <w:p w14:paraId="5466847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d) Khu vực không thuộc trường hợp phải phân bổ theo cơ chế đấu giá;</w:t>
      </w:r>
    </w:p>
    <w:p w14:paraId="7BF4EB4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 Trường hợp khác theo quy định.</w:t>
      </w:r>
    </w:p>
    <w:p w14:paraId="7DF3BE8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7.2. Phương thức cạnh tranh được xem xét khi nhu cầu của các chủ thể đủ điều kiện lớn hơn hạn ngạch có thể phân bổ hoặc tại các khu vực có hạn ngạch khan hiếm và nhu cầu cao cần thực hiện phân bổ theo cơ chế cạnh tranh.</w:t>
      </w:r>
    </w:p>
    <w:p w14:paraId="0AE19EC2"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8. Xác định nghĩa vụ tài chính</w:t>
      </w:r>
    </w:p>
    <w:p w14:paraId="0C943E3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Việc xác định nghĩa vụ tài chính thực hiện theo Phụ lục IV ban hành kèm theo Nghị quyết này.</w:t>
      </w:r>
    </w:p>
    <w:p w14:paraId="2E2461C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Cơ quan thẩm định lập bảng xác định các nội dung sau:</w:t>
      </w:r>
    </w:p>
    <w:p w14:paraId="44C720C6"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Diện tích sàn tăng thêm;</w:t>
      </w:r>
    </w:p>
    <w:p w14:paraId="264128D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Nhóm chức năng;</w:t>
      </w:r>
    </w:p>
    <w:p w14:paraId="2CC8A2F0"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Mức thu cơ sở;</w:t>
      </w:r>
    </w:p>
    <w:p w14:paraId="281F9B1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Các hệ số;</w:t>
      </w:r>
    </w:p>
    <w:p w14:paraId="5F8CB8C2"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Tổng khoản phải nộp;</w:t>
      </w:r>
    </w:p>
    <w:p w14:paraId="3498E5A9"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Thời hạn nộp.</w:t>
      </w:r>
    </w:p>
    <w:p w14:paraId="68AF4F8C"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9. Hoàn thành nghĩa vụ tài chính</w:t>
      </w:r>
    </w:p>
    <w:p w14:paraId="288B8ED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Chủ thể nhận chỉ tiêu thực hiện nghĩa vụ tài chính theo nội dung được cơ quan có thẩm quyền xác định.</w:t>
      </w:r>
    </w:p>
    <w:p w14:paraId="0CF2C36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được phép nộp theo tiến độ, văn bản xác định nghĩa vụ tài chính phải xác định rõ phần chỉ tiêu tương ứng với từng lần thanh toán.</w:t>
      </w:r>
    </w:p>
    <w:p w14:paraId="583F8B07"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10. Quyết định chuyển nhượng và cập nhật chỉ tiêu</w:t>
      </w:r>
    </w:p>
    <w:p w14:paraId="18C57D5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Sau khi chủ thể hoàn thành nghĩa vụ tài chính theo quy định, Ủy ban nhân dân Thành phố quyết định việc chuyển nhượng chỉ tiêu quy hoạch.</w:t>
      </w:r>
    </w:p>
    <w:p w14:paraId="6B6708E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Quyết định tối thiểu bao gồm:</w:t>
      </w:r>
    </w:p>
    <w:p w14:paraId="6ACCDDD4"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Chủ thể nhận;</w:t>
      </w:r>
    </w:p>
    <w:p w14:paraId="50670779"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Dự án nhận;</w:t>
      </w:r>
    </w:p>
    <w:p w14:paraId="1B9697BB"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Nguồn chỉ tiêu;</w:t>
      </w:r>
    </w:p>
    <w:p w14:paraId="7B47B48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Số lượng chỉ tiêu;</w:t>
      </w:r>
    </w:p>
    <w:p w14:paraId="08E67A57"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Diện tích sàn nhà ở;</w:t>
      </w:r>
    </w:p>
    <w:p w14:paraId="0CF00B7D"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Diện tích sàn phi nhà ở;</w:t>
      </w:r>
    </w:p>
    <w:p w14:paraId="6FF57081"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Dân số;</w:t>
      </w:r>
    </w:p>
    <w:p w14:paraId="35EA0A9C"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Cơ cấu nhà ở, nếu có;</w:t>
      </w:r>
    </w:p>
    <w:p w14:paraId="6EA5E55A"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i)</w:t>
      </w:r>
      <w:r w:rsidRPr="007D05B1">
        <w:rPr>
          <w:rFonts w:ascii="Times New Roman" w:eastAsia="Times New Roman" w:hAnsi="Times New Roman"/>
          <w:sz w:val="26"/>
          <w:szCs w:val="26"/>
        </w:rPr>
        <w:tab/>
        <w:t>Điều kiện hạ tầng;</w:t>
      </w:r>
    </w:p>
    <w:p w14:paraId="6D5C9000"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j)</w:t>
      </w:r>
      <w:r w:rsidRPr="007D05B1">
        <w:rPr>
          <w:rFonts w:ascii="Times New Roman" w:eastAsia="Times New Roman" w:hAnsi="Times New Roman"/>
          <w:sz w:val="26"/>
          <w:szCs w:val="26"/>
        </w:rPr>
        <w:tab/>
        <w:t>Nghĩa vụ tài chính;</w:t>
      </w:r>
    </w:p>
    <w:p w14:paraId="130D35D5"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w:t>
      </w:r>
      <w:r w:rsidRPr="007D05B1">
        <w:rPr>
          <w:rFonts w:ascii="Times New Roman" w:eastAsia="Times New Roman" w:hAnsi="Times New Roman"/>
          <w:sz w:val="26"/>
          <w:szCs w:val="26"/>
        </w:rPr>
        <w:tab/>
        <w:t>Thời hạn sử dụng, thực hiện;</w:t>
      </w:r>
    </w:p>
    <w:p w14:paraId="7CD6DA28"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l)</w:t>
      </w:r>
      <w:r w:rsidRPr="007D05B1">
        <w:rPr>
          <w:rFonts w:ascii="Times New Roman" w:eastAsia="Times New Roman" w:hAnsi="Times New Roman"/>
          <w:sz w:val="26"/>
          <w:szCs w:val="26"/>
        </w:rPr>
        <w:tab/>
        <w:t>Điều kiện thu hồi;</w:t>
      </w:r>
    </w:p>
    <w:p w14:paraId="597C300F" w14:textId="77777777" w:rsidR="00837B6E" w:rsidRPr="007D05B1" w:rsidRDefault="00837B6E" w:rsidP="00837B6E">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w:t>
      </w:r>
      <w:r w:rsidRPr="007D05B1">
        <w:rPr>
          <w:rFonts w:ascii="Times New Roman" w:eastAsia="Times New Roman" w:hAnsi="Times New Roman"/>
          <w:sz w:val="26"/>
          <w:szCs w:val="26"/>
        </w:rPr>
        <w:tab/>
        <w:t>Trách nhiệm cập nhật dữ liệu.</w:t>
      </w:r>
    </w:p>
    <w:p w14:paraId="0C4C8F4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Sau khi quyết định được ban hành, cơ quan đầu mối thực hiện:</w:t>
      </w:r>
    </w:p>
    <w:p w14:paraId="7021A33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 Ghi giảm nguồn chỉ tiêu;</w:t>
      </w:r>
    </w:p>
    <w:p w14:paraId="557F113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 Ghi tăng chỉ tiêu tại khu vực nhận;</w:t>
      </w:r>
    </w:p>
    <w:p w14:paraId="06C4CA58"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 Cập nhật hồ sơ quy hoạch;</w:t>
      </w:r>
    </w:p>
    <w:p w14:paraId="46935781"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 Cập nhật Sổ chỉ tiêu quy hoạch TOD.</w:t>
      </w:r>
    </w:p>
    <w:p w14:paraId="1D90B8EC"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11. Thông báo và cung cấp dữ liệu đã cập nhật</w:t>
      </w:r>
    </w:p>
    <w:p w14:paraId="5412ED08" w14:textId="77777777" w:rsidR="00143735" w:rsidRPr="007D05B1" w:rsidRDefault="00143735" w:rsidP="00837B6E">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Dữ liệu đã cập nhật được</w:t>
      </w:r>
      <w:r w:rsidR="00837B6E" w:rsidRPr="007D05B1">
        <w:rPr>
          <w:rFonts w:ascii="Times New Roman" w:eastAsia="Times New Roman" w:hAnsi="Times New Roman"/>
          <w:sz w:val="26"/>
          <w:szCs w:val="26"/>
        </w:rPr>
        <w:t xml:space="preserve"> c</w:t>
      </w:r>
      <w:r w:rsidRPr="007D05B1">
        <w:rPr>
          <w:rFonts w:ascii="Times New Roman" w:eastAsia="Times New Roman" w:hAnsi="Times New Roman"/>
          <w:sz w:val="26"/>
          <w:szCs w:val="26"/>
        </w:rPr>
        <w:t>ung cấp cho các cơ quan quản lý đầu tư, xây dựng, đất đai, thuế và các cơ quan có liên quan</w:t>
      </w:r>
      <w:r w:rsidR="00837B6E" w:rsidRPr="007D05B1">
        <w:rPr>
          <w:rFonts w:ascii="Times New Roman" w:eastAsia="Times New Roman" w:hAnsi="Times New Roman"/>
          <w:sz w:val="26"/>
          <w:szCs w:val="26"/>
        </w:rPr>
        <w:t xml:space="preserve"> và c</w:t>
      </w:r>
      <w:r w:rsidRPr="007D05B1">
        <w:rPr>
          <w:rFonts w:ascii="Times New Roman" w:eastAsia="Times New Roman" w:hAnsi="Times New Roman"/>
          <w:sz w:val="26"/>
          <w:szCs w:val="26"/>
        </w:rPr>
        <w:t>ông khai theo quy định tại Phụ lục V ban hành kèm theo Nghị quyết này.</w:t>
      </w:r>
    </w:p>
    <w:p w14:paraId="751C27B1" w14:textId="77777777" w:rsidR="001E4870" w:rsidRPr="007D05B1" w:rsidRDefault="001E4870">
      <w:pPr>
        <w:spacing w:after="0" w:line="240" w:lineRule="auto"/>
        <w:rPr>
          <w:rFonts w:ascii="Times New Roman" w:eastAsia="Times New Roman" w:hAnsi="Times New Roman"/>
          <w:b/>
          <w:bCs/>
          <w:sz w:val="26"/>
          <w:szCs w:val="26"/>
        </w:rPr>
      </w:pPr>
      <w:r w:rsidRPr="007D05B1">
        <w:rPr>
          <w:rFonts w:ascii="Times New Roman" w:eastAsia="Times New Roman" w:hAnsi="Times New Roman"/>
          <w:b/>
          <w:bCs/>
          <w:sz w:val="26"/>
          <w:szCs w:val="26"/>
        </w:rPr>
        <w:br w:type="page"/>
      </w:r>
    </w:p>
    <w:p w14:paraId="542B9EB2" w14:textId="77777777" w:rsidR="00143735" w:rsidRPr="007D05B1" w:rsidRDefault="00143735" w:rsidP="001E4870">
      <w:pPr>
        <w:keepNext/>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lastRenderedPageBreak/>
        <w:t>PHỤ LỤC IV</w:t>
      </w:r>
    </w:p>
    <w:p w14:paraId="2873F3FF" w14:textId="77777777" w:rsidR="00143735" w:rsidRPr="007D05B1" w:rsidRDefault="00143735" w:rsidP="001E4870">
      <w:pPr>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NGUYÊN TẮC VÀ PHƯƠNG PHÁP XÁC ĐỊNH NGHĨA VỤ TÀI CHÍNH ĐỐI VỚI CHỈ TIÊU QUY HOẠCH TĂNG THÊM</w:t>
      </w:r>
    </w:p>
    <w:p w14:paraId="0364559B"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 Mục tiêu</w:t>
      </w:r>
    </w:p>
    <w:p w14:paraId="3B34D83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Việc xác định nghĩa vụ tài chính đối với chỉ tiêu quy hoạch tăng thêm nhằm:</w:t>
      </w:r>
    </w:p>
    <w:p w14:paraId="7557F665"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Thu hồi cho Nhà nước một phần giá trị tăng thêm do quyết định tăng cường độ phát triển và đầu tư hạ tầng công cộng tạo ra;</w:t>
      </w:r>
    </w:p>
    <w:p w14:paraId="4A946BEA"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Bảo đảm mức thu tương xứng với lợi ích kinh tế của phần chỉ tiêu tăng thêm;</w:t>
      </w:r>
    </w:p>
    <w:p w14:paraId="3AFCC726"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Không tạo mức thu làm mất tính khả thi hợp lý của dự án;</w:t>
      </w:r>
    </w:p>
    <w:p w14:paraId="0E70E02A"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Khuyến khích thực hiện các mục tiêu phát triển đô thị được ưu tiên, bao gồm phát triển xanh, bao trùm, thích ứng với biến đổi khí hậu, bảo tồn và bảo vệ môi trường.</w:t>
      </w:r>
    </w:p>
    <w:p w14:paraId="1B545931"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2. Cấu trúc khoản thu</w:t>
      </w:r>
    </w:p>
    <w:p w14:paraId="0DEE6D8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Phương pháp xác định khoản thu thực hiện theo quy định về khoản thu đối với diện tích sàn xây dựng tăng thêm và các quy định về nghĩa vụ tài chính có liên quan của Thành phố.</w:t>
      </w:r>
    </w:p>
    <w:p w14:paraId="0EED1E94"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3. Đấu giá</w:t>
      </w:r>
    </w:p>
    <w:p w14:paraId="39BAC64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áp dụng đấu giá:</w:t>
      </w:r>
    </w:p>
    <w:p w14:paraId="4D5508E0"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Giá khởi điểm phải phản ánh giá trị tối thiểu hợp lý của chỉ tiêu;</w:t>
      </w:r>
    </w:p>
    <w:p w14:paraId="524261F9"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Đơn vị đấu giá là đơn vị diện tích sàn xây dựng quy đổi (m²) theo loại hình nhà ở hoặc phi nhà ở;</w:t>
      </w:r>
    </w:p>
    <w:p w14:paraId="57B57D2D"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Người trúng đấu giá vẫn phải tuân thủ đầy đủ các điều kiện quản lý về quy hoạch, kiến trúc và hạ tầng;</w:t>
      </w:r>
    </w:p>
    <w:p w14:paraId="688FFA84" w14:textId="77777777" w:rsidR="002B2AB2" w:rsidRPr="007D05B1" w:rsidRDefault="002B2AB2" w:rsidP="002B2AB2">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Việc trúng đấu giá không làm phát sinh quyền yêu cầu điều chỉnh quy hoạch ngoài phạm vi được công bố.</w:t>
      </w:r>
    </w:p>
    <w:p w14:paraId="768A8B9E"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4. Chuyển trực tiếp giữa hai dự án</w:t>
      </w:r>
    </w:p>
    <w:p w14:paraId="3C1B1B4B" w14:textId="77777777" w:rsidR="00143735" w:rsidRPr="007D05B1" w:rsidRDefault="00143735" w:rsidP="002B2AB2">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Giá trị thanh toán giữa bên cho và bên nhận, nếu có, được xác định theo thỏa thuận hoặc phương thức được pháp luật cho phép.</w:t>
      </w:r>
    </w:p>
    <w:p w14:paraId="76F2DF7D" w14:textId="77777777" w:rsidR="00143735" w:rsidRPr="007D05B1" w:rsidRDefault="00143735" w:rsidP="002B2AB2">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Khoản thanh toán giữa các bên không thay thế nghĩa vụ tài chính của bên nhận đối với Nhà nước.</w:t>
      </w:r>
    </w:p>
    <w:p w14:paraId="5E74B70B" w14:textId="77777777" w:rsidR="001E4870" w:rsidRPr="007D05B1" w:rsidRDefault="00143735" w:rsidP="002B2AB2">
      <w:pPr>
        <w:tabs>
          <w:tab w:val="num" w:pos="720"/>
        </w:tabs>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sz w:val="26"/>
          <w:szCs w:val="26"/>
        </w:rPr>
        <w:t>Cơ quan nhà nước không công nhận giá trị chuyển nhượng được xác lập nhằm làm tăng giả tạo chi phí dự án hoặc làm giảm nghĩa vụ tài chính đối với Nhà nước.</w:t>
      </w:r>
    </w:p>
    <w:p w14:paraId="3E9F0BEB" w14:textId="77777777" w:rsidR="00143735" w:rsidRPr="007D05B1" w:rsidRDefault="00143735" w:rsidP="001E4870">
      <w:pPr>
        <w:keepNext/>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PHỤ LỤC V</w:t>
      </w:r>
    </w:p>
    <w:p w14:paraId="769917ED" w14:textId="77777777" w:rsidR="00143735" w:rsidRPr="007D05B1" w:rsidRDefault="00143735" w:rsidP="001E4870">
      <w:pPr>
        <w:spacing w:before="60" w:after="60" w:line="276" w:lineRule="auto"/>
        <w:ind w:firstLine="720"/>
        <w:jc w:val="center"/>
        <w:rPr>
          <w:rFonts w:ascii="Times New Roman" w:eastAsia="Times New Roman" w:hAnsi="Times New Roman"/>
          <w:b/>
          <w:bCs/>
          <w:sz w:val="26"/>
          <w:szCs w:val="26"/>
        </w:rPr>
      </w:pPr>
      <w:r w:rsidRPr="007D05B1">
        <w:rPr>
          <w:rFonts w:ascii="Times New Roman" w:eastAsia="Times New Roman" w:hAnsi="Times New Roman"/>
          <w:b/>
          <w:bCs/>
          <w:sz w:val="26"/>
          <w:szCs w:val="26"/>
        </w:rPr>
        <w:t>QUẢN LÝ, CẬP NHẬT VÀ CÔNG KHAI SỔ CHỈ TIÊU QUY HOẠCH TOD</w:t>
      </w:r>
    </w:p>
    <w:p w14:paraId="6A37CBF7"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 Nguyên tắc</w:t>
      </w:r>
    </w:p>
    <w:p w14:paraId="7998C015" w14:textId="77777777" w:rsidR="00143735" w:rsidRPr="007D05B1" w:rsidRDefault="00143735" w:rsidP="00F148F9">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Mọi phát sinh liên quan đến chỉ tiêu quy hoạch phải có căn cứ pháp lý và mốc thời gian được ghi nhận.</w:t>
      </w:r>
    </w:p>
    <w:p w14:paraId="740DE168" w14:textId="77777777" w:rsidR="00143735" w:rsidRPr="007D05B1" w:rsidRDefault="00143735" w:rsidP="00F148F9">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Không được xóa lịch sử giao dịch chuyển nhượng.</w:t>
      </w:r>
    </w:p>
    <w:p w14:paraId="538D55AE" w14:textId="77777777" w:rsidR="00143735" w:rsidRPr="007D05B1" w:rsidRDefault="00143735" w:rsidP="00F148F9">
      <w:pPr>
        <w:tabs>
          <w:tab w:val="num" w:pos="720"/>
        </w:tabs>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Hệ thống phải bảo đảm khả năng truy xuất từ nguồn hình thành chỉ tiêu đến dự án sử dụng cuối cùng.</w:t>
      </w:r>
    </w:p>
    <w:p w14:paraId="701CDAA3"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2. Mã định danh</w:t>
      </w:r>
    </w:p>
    <w:p w14:paraId="1DFC84AC"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Mỗi đơn vị quản lý tối thiểu phải có các mã định danh sau:</w:t>
      </w:r>
    </w:p>
    <w:p w14:paraId="7B7A6BDC"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Mã TOD;</w:t>
      </w:r>
    </w:p>
    <w:p w14:paraId="2288CBAA"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Mã khu vực;</w:t>
      </w:r>
    </w:p>
    <w:p w14:paraId="74F9EC3B"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Mã dự án;</w:t>
      </w:r>
    </w:p>
    <w:p w14:paraId="32E88B78"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Mã giao dịch;</w:t>
      </w:r>
    </w:p>
    <w:p w14:paraId="1E3B5423"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Mã quyết định;</w:t>
      </w:r>
    </w:p>
    <w:p w14:paraId="65177883"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Mã nguồn chỉ tiêu.</w:t>
      </w:r>
    </w:p>
    <w:p w14:paraId="50772376"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3. Các trường dữ liệu bắt buộc</w:t>
      </w:r>
    </w:p>
    <w:p w14:paraId="059858F6"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Sổ chỉ tiêu quy hoạch TOD tối thiểu phải có các trường dữ liệu sau:</w:t>
      </w:r>
    </w:p>
    <w:p w14:paraId="409988D8"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Tên khu vực TOD;</w:t>
      </w:r>
    </w:p>
    <w:p w14:paraId="5D239824"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Vị trí;</w:t>
      </w:r>
    </w:p>
    <w:p w14:paraId="39907678"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Chủ thể;</w:t>
      </w:r>
    </w:p>
    <w:p w14:paraId="761DA7D1"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Chỉ tiêu ban đầu;</w:t>
      </w:r>
    </w:p>
    <w:p w14:paraId="6ABBEF0A"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Nguồn chỉ tiêu;</w:t>
      </w:r>
    </w:p>
    <w:p w14:paraId="46CE450C"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Diện tích sàn nhà ở;</w:t>
      </w:r>
    </w:p>
    <w:p w14:paraId="723BC535"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Diện tích sàn phi nhà ở;</w:t>
      </w:r>
    </w:p>
    <w:p w14:paraId="7A097903"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Ngày ban hành quyết định;</w:t>
      </w:r>
    </w:p>
    <w:p w14:paraId="5874648B"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i)</w:t>
      </w:r>
      <w:r w:rsidRPr="007D05B1">
        <w:rPr>
          <w:rFonts w:ascii="Times New Roman" w:eastAsia="Times New Roman" w:hAnsi="Times New Roman"/>
          <w:sz w:val="26"/>
          <w:szCs w:val="26"/>
        </w:rPr>
        <w:tab/>
        <w:t>Thời hạn sử dụng, triển khai;</w:t>
      </w:r>
    </w:p>
    <w:p w14:paraId="04421D77"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j)</w:t>
      </w:r>
      <w:r w:rsidRPr="007D05B1">
        <w:rPr>
          <w:rFonts w:ascii="Times New Roman" w:eastAsia="Times New Roman" w:hAnsi="Times New Roman"/>
          <w:sz w:val="26"/>
          <w:szCs w:val="26"/>
        </w:rPr>
        <w:tab/>
        <w:t>Nghĩa vụ tài chính;</w:t>
      </w:r>
    </w:p>
    <w:p w14:paraId="77710018"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w:t>
      </w:r>
      <w:r w:rsidRPr="007D05B1">
        <w:rPr>
          <w:rFonts w:ascii="Times New Roman" w:eastAsia="Times New Roman" w:hAnsi="Times New Roman"/>
          <w:sz w:val="26"/>
          <w:szCs w:val="26"/>
        </w:rPr>
        <w:tab/>
        <w:t>Tình trạng thanh toán;</w:t>
      </w:r>
    </w:p>
    <w:p w14:paraId="451D9CD1"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l)</w:t>
      </w:r>
      <w:r w:rsidRPr="007D05B1">
        <w:rPr>
          <w:rFonts w:ascii="Times New Roman" w:eastAsia="Times New Roman" w:hAnsi="Times New Roman"/>
          <w:sz w:val="26"/>
          <w:szCs w:val="26"/>
        </w:rPr>
        <w:tab/>
        <w:t>Tình trạng triển khai;</w:t>
      </w:r>
    </w:p>
    <w:p w14:paraId="1C15E0C2"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w:t>
      </w:r>
      <w:r w:rsidRPr="007D05B1">
        <w:rPr>
          <w:rFonts w:ascii="Times New Roman" w:eastAsia="Times New Roman" w:hAnsi="Times New Roman"/>
          <w:sz w:val="26"/>
          <w:szCs w:val="26"/>
        </w:rPr>
        <w:tab/>
        <w:t>Phần chỉ tiêu đã sử dụng;</w:t>
      </w:r>
    </w:p>
    <w:p w14:paraId="0E5C3C5C"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n)</w:t>
      </w:r>
      <w:r w:rsidRPr="007D05B1">
        <w:rPr>
          <w:rFonts w:ascii="Times New Roman" w:eastAsia="Times New Roman" w:hAnsi="Times New Roman"/>
          <w:sz w:val="26"/>
          <w:szCs w:val="26"/>
        </w:rPr>
        <w:tab/>
        <w:t>Phần chỉ tiêu chưa sử dụng;</w:t>
      </w:r>
    </w:p>
    <w:p w14:paraId="03844CA6"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o)</w:t>
      </w:r>
      <w:r w:rsidRPr="007D05B1">
        <w:rPr>
          <w:rFonts w:ascii="Times New Roman" w:eastAsia="Times New Roman" w:hAnsi="Times New Roman"/>
          <w:sz w:val="26"/>
          <w:szCs w:val="26"/>
        </w:rPr>
        <w:tab/>
        <w:t>Tình trạng thu hồi hoặc hoàn trả.</w:t>
      </w:r>
    </w:p>
    <w:p w14:paraId="057D2AC4" w14:textId="77777777" w:rsidR="00F148F9" w:rsidRPr="007D05B1" w:rsidRDefault="00F148F9" w:rsidP="00143735">
      <w:pPr>
        <w:spacing w:before="60" w:after="60" w:line="276" w:lineRule="auto"/>
        <w:ind w:firstLine="720"/>
        <w:jc w:val="both"/>
        <w:rPr>
          <w:rFonts w:ascii="Times New Roman" w:eastAsia="Times New Roman" w:hAnsi="Times New Roman"/>
          <w:sz w:val="26"/>
          <w:szCs w:val="26"/>
        </w:rPr>
      </w:pPr>
    </w:p>
    <w:p w14:paraId="2DDE45FF"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4. Trạng thái chỉ tiêu</w:t>
      </w:r>
    </w:p>
    <w:p w14:paraId="4330023B"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Một đơn vị chỉ tiêu được phân loại vào một trong các trạng thái sau:</w:t>
      </w:r>
    </w:p>
    <w:p w14:paraId="23D26CEC"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Dự trữ;</w:t>
      </w:r>
    </w:p>
    <w:p w14:paraId="5AA96B41"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Đang xem xét phân bổ;</w:t>
      </w:r>
    </w:p>
    <w:p w14:paraId="30848E6E"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Đã được chấp thuận;</w:t>
      </w:r>
    </w:p>
    <w:p w14:paraId="6858E86D"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d)</w:t>
      </w:r>
      <w:r w:rsidRPr="007D05B1">
        <w:rPr>
          <w:rFonts w:ascii="Times New Roman" w:eastAsia="Times New Roman" w:hAnsi="Times New Roman"/>
          <w:sz w:val="26"/>
          <w:szCs w:val="26"/>
        </w:rPr>
        <w:tab/>
        <w:t>Đã hoàn thành nghĩa vụ tài chính;</w:t>
      </w:r>
    </w:p>
    <w:p w14:paraId="35D98EF7"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Đang sử dụng;</w:t>
      </w:r>
    </w:p>
    <w:p w14:paraId="764E6CBF"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Đã sử dụng;</w:t>
      </w:r>
    </w:p>
    <w:p w14:paraId="39AEE57B"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Tạm đình chỉ;</w:t>
      </w:r>
    </w:p>
    <w:p w14:paraId="05A67089"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Hết hạn;</w:t>
      </w:r>
    </w:p>
    <w:p w14:paraId="5D37EADF"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i)</w:t>
      </w:r>
      <w:r w:rsidRPr="007D05B1">
        <w:rPr>
          <w:rFonts w:ascii="Times New Roman" w:eastAsia="Times New Roman" w:hAnsi="Times New Roman"/>
          <w:sz w:val="26"/>
          <w:szCs w:val="26"/>
        </w:rPr>
        <w:tab/>
        <w:t>Thu hồi;</w:t>
      </w:r>
    </w:p>
    <w:p w14:paraId="453A4235"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j)</w:t>
      </w:r>
      <w:r w:rsidRPr="007D05B1">
        <w:rPr>
          <w:rFonts w:ascii="Times New Roman" w:eastAsia="Times New Roman" w:hAnsi="Times New Roman"/>
          <w:sz w:val="26"/>
          <w:szCs w:val="26"/>
        </w:rPr>
        <w:tab/>
        <w:t>Hoàn trả;</w:t>
      </w:r>
    </w:p>
    <w:p w14:paraId="670AB2E2" w14:textId="77777777" w:rsidR="00F148F9" w:rsidRPr="007D05B1" w:rsidRDefault="00F148F9" w:rsidP="00F148F9">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w:t>
      </w:r>
      <w:r w:rsidRPr="007D05B1">
        <w:rPr>
          <w:rFonts w:ascii="Times New Roman" w:eastAsia="Times New Roman" w:hAnsi="Times New Roman"/>
          <w:sz w:val="26"/>
          <w:szCs w:val="26"/>
        </w:rPr>
        <w:tab/>
        <w:t>Hủy bỏ.</w:t>
      </w:r>
    </w:p>
    <w:p w14:paraId="207D7AD2"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5. Quy tắc ghi sổ</w:t>
      </w:r>
    </w:p>
    <w:p w14:paraId="08DD814A"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 xml:space="preserve">Trường hợp chuyển </w:t>
      </w:r>
      <w:r w:rsidRPr="007D05B1">
        <w:rPr>
          <w:rFonts w:ascii="Times New Roman" w:eastAsia="Times New Roman" w:hAnsi="Times New Roman"/>
          <w:b/>
          <w:bCs/>
          <w:sz w:val="26"/>
          <w:szCs w:val="26"/>
        </w:rPr>
        <w:t>X</w:t>
      </w:r>
      <w:r w:rsidRPr="007D05B1">
        <w:rPr>
          <w:rFonts w:ascii="Times New Roman" w:eastAsia="Times New Roman" w:hAnsi="Times New Roman"/>
          <w:sz w:val="26"/>
          <w:szCs w:val="26"/>
        </w:rPr>
        <w:t xml:space="preserve"> đơn vị từ khu vực A sang khu vực B:</w:t>
      </w:r>
    </w:p>
    <w:p w14:paraId="34B5B3CC"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A = A - X</w:t>
      </w:r>
    </w:p>
    <w:p w14:paraId="39BF70A0"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B = B + X</w:t>
      </w:r>
    </w:p>
    <w:p w14:paraId="005089F6"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Trường hợp thực hiện thông qua Quỹ dự trữ chỉ tiêu quy hoạch:</w:t>
      </w:r>
    </w:p>
    <w:p w14:paraId="2CC9620F"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A = A - X</w:t>
      </w:r>
    </w:p>
    <w:p w14:paraId="44C39C10"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Quỹ = Quỹ + X</w:t>
      </w:r>
    </w:p>
    <w:p w14:paraId="1F46E60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sau đó:</w:t>
      </w:r>
    </w:p>
    <w:p w14:paraId="7DF3A109"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Quỹ = Quỹ - X</w:t>
      </w:r>
    </w:p>
    <w:p w14:paraId="0675D833"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B = B + X</w:t>
      </w:r>
    </w:p>
    <w:p w14:paraId="71F3CEC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Mọi bút toán phải bảo đảm cân bằng.</w:t>
      </w:r>
    </w:p>
    <w:p w14:paraId="31518A1B"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6. Kiểm soát hạn ngạch</w:t>
      </w:r>
    </w:p>
    <w:p w14:paraId="202BFC8F"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Hệ thống phải tự động theo dõi hạn ngạch còn lại theo công thức:</w:t>
      </w:r>
    </w:p>
    <w:p w14:paraId="5284D01E"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b/>
          <w:bCs/>
          <w:sz w:val="26"/>
          <w:szCs w:val="26"/>
        </w:rPr>
        <w:t>Hạn ngạch còn lại = Hạn ngạch được phê duyệt - Chỉ tiêu đã phân bổ còn hiệu lực.</w:t>
      </w:r>
    </w:p>
    <w:p w14:paraId="4C30E464"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Không thực hiện việc ghi nhận quyết định làm tổng chỉ tiêu phân bổ vượt hạn ngạch được phê duyệt.</w:t>
      </w:r>
    </w:p>
    <w:p w14:paraId="0AB6B3D6"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7. Công khai thông tin</w:t>
      </w:r>
    </w:p>
    <w:p w14:paraId="1E1DD49D"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Thông tin công khai tối thiểu bao gồm:</w:t>
      </w:r>
    </w:p>
    <w:p w14:paraId="79724387"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Tổng sức chứa phát triển tăng thêm;</w:t>
      </w:r>
    </w:p>
    <w:p w14:paraId="2F959099"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Hạn ngạch của giai đoạn;</w:t>
      </w:r>
    </w:p>
    <w:p w14:paraId="17D90F7B"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Hạn ngạch đã phân bổ;</w:t>
      </w:r>
    </w:p>
    <w:p w14:paraId="7D33A99D"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Hạn ngạch còn lại;</w:t>
      </w:r>
    </w:p>
    <w:p w14:paraId="41FED443"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Danh mục quyết định chuyển nhượng;</w:t>
      </w:r>
    </w:p>
    <w:p w14:paraId="6821DB4A"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Tổng số tiền đã thu;</w:t>
      </w:r>
    </w:p>
    <w:p w14:paraId="75E694A0"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Tình trạng sử dụng chỉ tiêu;</w:t>
      </w:r>
    </w:p>
    <w:p w14:paraId="29E0A9CC"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lastRenderedPageBreak/>
        <w:t>h)</w:t>
      </w:r>
      <w:r w:rsidRPr="007D05B1">
        <w:rPr>
          <w:rFonts w:ascii="Times New Roman" w:eastAsia="Times New Roman" w:hAnsi="Times New Roman"/>
          <w:sz w:val="26"/>
          <w:szCs w:val="26"/>
        </w:rPr>
        <w:tab/>
        <w:t>Tổng số chỉ tiêu đã hoàn trả hoặc thu hồi.</w:t>
      </w:r>
    </w:p>
    <w:p w14:paraId="2ADED1B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Thông tin thuộc bí mật nhà nước, bí mật kinh doanh và dữ liệu cá nhân được bảo vệ theo quy định của pháp luật.</w:t>
      </w:r>
    </w:p>
    <w:p w14:paraId="411F8AA8"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8. Bản đồ số</w:t>
      </w:r>
    </w:p>
    <w:p w14:paraId="72172592"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Sổ chỉ tiêu quy hoạch TOD được tích hợp với hệ thống thông tin địa lý (GIS), cho phép hiển thị:</w:t>
      </w:r>
    </w:p>
    <w:p w14:paraId="7D094A5F"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Ranh giới khu vực TOD;</w:t>
      </w:r>
    </w:p>
    <w:p w14:paraId="687713EC"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Khu vực cho;</w:t>
      </w:r>
    </w:p>
    <w:p w14:paraId="3B4436DA"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Khu vực nhận;</w:t>
      </w:r>
    </w:p>
    <w:p w14:paraId="42F9152C"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Các dự án đã được cấp chỉ tiêu;</w:t>
      </w:r>
    </w:p>
    <w:p w14:paraId="68AE19DD"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Chỉ tiêu hiện hành của từng ô đất;</w:t>
      </w:r>
    </w:p>
    <w:p w14:paraId="7A232E2A"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Tình trạng hạ tầng;</w:t>
      </w:r>
    </w:p>
    <w:p w14:paraId="32AEFD44"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Hạn ngạch còn lại.</w:t>
      </w:r>
    </w:p>
    <w:p w14:paraId="7E36E4DA"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h) Lõi TOD, Traffic Capacity, điểm kiểm soát giao thông và kết quả đánh giá tổng thể;</w:t>
      </w:r>
    </w:p>
    <w:p w14:paraId="1AF68685"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i) Hạn ngạch theo giai đoạn, phần dự phòng α, chỉ tiêu đã cam kết, đã khóa và còn có thể phân bổ.</w:t>
      </w:r>
    </w:p>
    <w:p w14:paraId="7E935196" w14:textId="77777777" w:rsidR="00A827EC" w:rsidRPr="007D05B1" w:rsidRDefault="003B455C">
      <w:pPr>
        <w:spacing w:after="0" w:line="276" w:lineRule="auto"/>
        <w:ind w:firstLine="567"/>
        <w:jc w:val="both"/>
        <w:rPr>
          <w:rFonts w:ascii="Times New Roman" w:hAnsi="Times New Roman"/>
          <w:sz w:val="26"/>
          <w:szCs w:val="26"/>
        </w:rPr>
      </w:pPr>
      <w:r w:rsidRPr="007D05B1">
        <w:rPr>
          <w:rFonts w:ascii="Times New Roman" w:eastAsia="Times New Roman" w:hAnsi="Times New Roman"/>
          <w:sz w:val="26"/>
          <w:szCs w:val="26"/>
        </w:rPr>
        <w:t>Dữ liệu GIS phải liên kết với mã định danh trong Sổ chỉ tiêu, thể hiện lịch sử thay đổi và cho phép đối soát với cơ sở dữ liệu quy hoạch, đất đai, xây dựng, dân cư và tài chính.</w:t>
      </w:r>
    </w:p>
    <w:p w14:paraId="74ADED50"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9. Báo cáo định kỳ</w:t>
      </w:r>
    </w:p>
    <w:p w14:paraId="4F75FFC9"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Cơ quan đầu mối lập báo cáo hằng năm tối thiểu về các nội dung sau:</w:t>
      </w:r>
    </w:p>
    <w:p w14:paraId="7CE2A73F"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a)</w:t>
      </w:r>
      <w:r w:rsidRPr="007D05B1">
        <w:rPr>
          <w:rFonts w:ascii="Times New Roman" w:eastAsia="Times New Roman" w:hAnsi="Times New Roman"/>
          <w:sz w:val="26"/>
          <w:szCs w:val="26"/>
        </w:rPr>
        <w:tab/>
        <w:t>Tổng chỉ tiêu được phân bổ;</w:t>
      </w:r>
    </w:p>
    <w:p w14:paraId="1E3704F0"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b)</w:t>
      </w:r>
      <w:r w:rsidRPr="007D05B1">
        <w:rPr>
          <w:rFonts w:ascii="Times New Roman" w:eastAsia="Times New Roman" w:hAnsi="Times New Roman"/>
          <w:sz w:val="26"/>
          <w:szCs w:val="26"/>
        </w:rPr>
        <w:tab/>
        <w:t>Cơ cấu diện tích sàn nhà ở và phi nhà ở;</w:t>
      </w:r>
    </w:p>
    <w:p w14:paraId="3FC53824"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c)</w:t>
      </w:r>
      <w:r w:rsidRPr="007D05B1">
        <w:rPr>
          <w:rFonts w:ascii="Times New Roman" w:eastAsia="Times New Roman" w:hAnsi="Times New Roman"/>
          <w:sz w:val="26"/>
          <w:szCs w:val="26"/>
        </w:rPr>
        <w:tab/>
        <w:t>Nguồn thu;</w:t>
      </w:r>
    </w:p>
    <w:p w14:paraId="0C078576"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d)</w:t>
      </w:r>
      <w:r w:rsidRPr="007D05B1">
        <w:rPr>
          <w:rFonts w:ascii="Times New Roman" w:eastAsia="Times New Roman" w:hAnsi="Times New Roman"/>
          <w:sz w:val="26"/>
          <w:szCs w:val="26"/>
        </w:rPr>
        <w:tab/>
        <w:t>Chỉ tiêu đã đưa vào sử dụng;</w:t>
      </w:r>
    </w:p>
    <w:p w14:paraId="1797C52E"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e)</w:t>
      </w:r>
      <w:r w:rsidRPr="007D05B1">
        <w:rPr>
          <w:rFonts w:ascii="Times New Roman" w:eastAsia="Times New Roman" w:hAnsi="Times New Roman"/>
          <w:sz w:val="26"/>
          <w:szCs w:val="26"/>
        </w:rPr>
        <w:tab/>
        <w:t>Chỉ tiêu hết hạn hoặc bị thu hồi;</w:t>
      </w:r>
    </w:p>
    <w:p w14:paraId="347429DD"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f)</w:t>
      </w:r>
      <w:r w:rsidRPr="007D05B1">
        <w:rPr>
          <w:rFonts w:ascii="Times New Roman" w:eastAsia="Times New Roman" w:hAnsi="Times New Roman"/>
          <w:sz w:val="26"/>
          <w:szCs w:val="26"/>
        </w:rPr>
        <w:tab/>
        <w:t>Mức sử dụng sức chứa;</w:t>
      </w:r>
    </w:p>
    <w:p w14:paraId="6776C6F1"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g)</w:t>
      </w:r>
      <w:r w:rsidRPr="007D05B1">
        <w:rPr>
          <w:rFonts w:ascii="Times New Roman" w:eastAsia="Times New Roman" w:hAnsi="Times New Roman"/>
          <w:sz w:val="26"/>
          <w:szCs w:val="26"/>
        </w:rPr>
        <w:tab/>
        <w:t>Tình trạng giao thông và hạ tầng;</w:t>
      </w:r>
    </w:p>
    <w:p w14:paraId="52BB0C94" w14:textId="77777777" w:rsidR="00A4492F" w:rsidRPr="007D05B1" w:rsidRDefault="00A4492F" w:rsidP="00A4492F">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h)</w:t>
      </w:r>
      <w:r w:rsidRPr="007D05B1">
        <w:rPr>
          <w:rFonts w:ascii="Times New Roman" w:eastAsia="Times New Roman" w:hAnsi="Times New Roman"/>
          <w:sz w:val="26"/>
          <w:szCs w:val="26"/>
        </w:rPr>
        <w:tab/>
        <w:t>Kiến nghị điều chỉnh hạn ngạch của giai đoạn tiếp theo.</w:t>
      </w:r>
    </w:p>
    <w:p w14:paraId="6CDE5B5C" w14:textId="77777777" w:rsidR="00143735" w:rsidRPr="007D05B1" w:rsidRDefault="00143735" w:rsidP="00143735">
      <w:pPr>
        <w:spacing w:before="60" w:after="60" w:line="276" w:lineRule="auto"/>
        <w:ind w:firstLine="720"/>
        <w:jc w:val="both"/>
        <w:rPr>
          <w:rFonts w:ascii="Times New Roman" w:eastAsia="Times New Roman" w:hAnsi="Times New Roman"/>
          <w:b/>
          <w:bCs/>
          <w:sz w:val="26"/>
          <w:szCs w:val="26"/>
        </w:rPr>
      </w:pPr>
      <w:r w:rsidRPr="007D05B1">
        <w:rPr>
          <w:rFonts w:ascii="Times New Roman" w:eastAsia="Times New Roman" w:hAnsi="Times New Roman"/>
          <w:b/>
          <w:bCs/>
          <w:sz w:val="26"/>
          <w:szCs w:val="26"/>
        </w:rPr>
        <w:t>10. Kiểm tra cân đối định kỳ</w:t>
      </w:r>
    </w:p>
    <w:p w14:paraId="2963D135"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Trước khi công bố hạn ngạch mới phải kiểm tra cân đối Quỹ theo công thức:</w:t>
      </w:r>
    </w:p>
    <w:p w14:paraId="755DB099"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Quỹ cuối kỳ = Quỹ đầu kỳ + chỉ tiêu mới được xác lập + chỉ tiêu hoàn trả - chỉ tiêu đã phân bổ - chỉ tiêu hủy bỏ.</w:t>
      </w:r>
    </w:p>
    <w:p w14:paraId="264CCF53" w14:textId="77777777" w:rsidR="00143735" w:rsidRPr="007D05B1" w:rsidRDefault="00143735" w:rsidP="00143735">
      <w:pPr>
        <w:spacing w:before="60" w:after="60" w:line="276" w:lineRule="auto"/>
        <w:ind w:firstLine="720"/>
        <w:jc w:val="both"/>
        <w:rPr>
          <w:rFonts w:ascii="Times New Roman" w:eastAsia="Times New Roman" w:hAnsi="Times New Roman"/>
          <w:sz w:val="26"/>
          <w:szCs w:val="26"/>
        </w:rPr>
      </w:pPr>
      <w:r w:rsidRPr="007D05B1">
        <w:rPr>
          <w:rFonts w:ascii="Times New Roman" w:eastAsia="Times New Roman" w:hAnsi="Times New Roman"/>
          <w:sz w:val="26"/>
          <w:szCs w:val="26"/>
        </w:rPr>
        <w:t>Đồng thời phải bảo đảm:</w:t>
      </w:r>
    </w:p>
    <w:p w14:paraId="6BBA72CC" w14:textId="77777777" w:rsidR="00143735" w:rsidRPr="007D05B1" w:rsidRDefault="00143735" w:rsidP="00A4492F">
      <w:pPr>
        <w:spacing w:before="60" w:after="60" w:line="276" w:lineRule="auto"/>
        <w:ind w:firstLine="720"/>
        <w:jc w:val="center"/>
        <w:rPr>
          <w:rFonts w:ascii="Times New Roman" w:eastAsia="Times New Roman" w:hAnsi="Times New Roman"/>
          <w:sz w:val="26"/>
          <w:szCs w:val="26"/>
        </w:rPr>
      </w:pPr>
      <w:r w:rsidRPr="007D05B1">
        <w:rPr>
          <w:rFonts w:ascii="Times New Roman" w:eastAsia="Times New Roman" w:hAnsi="Times New Roman"/>
          <w:b/>
          <w:bCs/>
          <w:sz w:val="26"/>
          <w:szCs w:val="26"/>
        </w:rPr>
        <w:t>Sức chứa còn lại ≥ Tổng nghĩa vụ phát triển của các chỉ tiêu đã được cấp nhưng chưa đưa vào sử dụng.</w:t>
      </w:r>
    </w:p>
    <w:p w14:paraId="6AD2FF88" w14:textId="77777777" w:rsidR="00891831" w:rsidRPr="007D05B1" w:rsidRDefault="00143735" w:rsidP="001E4870">
      <w:pPr>
        <w:spacing w:before="60" w:after="60" w:line="276" w:lineRule="auto"/>
        <w:ind w:firstLine="720"/>
        <w:jc w:val="both"/>
        <w:rPr>
          <w:rFonts w:ascii="Times New Roman" w:hAnsi="Times New Roman"/>
          <w:bCs/>
          <w:sz w:val="26"/>
          <w:szCs w:val="26"/>
        </w:rPr>
      </w:pPr>
      <w:r w:rsidRPr="007D05B1">
        <w:rPr>
          <w:rFonts w:ascii="Times New Roman" w:eastAsia="Times New Roman" w:hAnsi="Times New Roman"/>
          <w:sz w:val="26"/>
          <w:szCs w:val="26"/>
        </w:rPr>
        <w:lastRenderedPageBreak/>
        <w:t>Trường hợp không đáp ứng điều kiện này, tạm dừng phân bổ chỉ tiêu mới cho đến khi sức chứa được bổ sung hoặc hạn ngạch được điều chỉnh.</w:t>
      </w:r>
    </w:p>
    <w:sectPr w:rsidR="00891831" w:rsidRPr="007D05B1" w:rsidSect="00F61D6D">
      <w:pgSz w:w="12240" w:h="15840"/>
      <w:pgMar w:top="1008"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Aptos Display">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ptos">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A61A8"/>
    <w:multiLevelType w:val="multilevel"/>
    <w:tmpl w:val="7064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defaultTabStop w:val="28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355"/>
    <w:rsid w:val="000120DD"/>
    <w:rsid w:val="00054D6B"/>
    <w:rsid w:val="00064D7E"/>
    <w:rsid w:val="00070553"/>
    <w:rsid w:val="000B10C1"/>
    <w:rsid w:val="000E4C8E"/>
    <w:rsid w:val="000F0492"/>
    <w:rsid w:val="000F5D6C"/>
    <w:rsid w:val="00137AF7"/>
    <w:rsid w:val="00143735"/>
    <w:rsid w:val="00151A32"/>
    <w:rsid w:val="00154DCE"/>
    <w:rsid w:val="00172A1F"/>
    <w:rsid w:val="001C3ADB"/>
    <w:rsid w:val="001E4870"/>
    <w:rsid w:val="00205D5D"/>
    <w:rsid w:val="002322B4"/>
    <w:rsid w:val="002628CC"/>
    <w:rsid w:val="00270B9A"/>
    <w:rsid w:val="002B2AB2"/>
    <w:rsid w:val="002D7D93"/>
    <w:rsid w:val="002E5589"/>
    <w:rsid w:val="003105C4"/>
    <w:rsid w:val="003A48E9"/>
    <w:rsid w:val="003B455C"/>
    <w:rsid w:val="003F3A2F"/>
    <w:rsid w:val="003F6925"/>
    <w:rsid w:val="00406B9F"/>
    <w:rsid w:val="004277B3"/>
    <w:rsid w:val="00436ED4"/>
    <w:rsid w:val="00460AEB"/>
    <w:rsid w:val="00481B25"/>
    <w:rsid w:val="004A33CF"/>
    <w:rsid w:val="005003D9"/>
    <w:rsid w:val="00517387"/>
    <w:rsid w:val="005223B5"/>
    <w:rsid w:val="00610E72"/>
    <w:rsid w:val="0065417E"/>
    <w:rsid w:val="00682AB6"/>
    <w:rsid w:val="006A0ABB"/>
    <w:rsid w:val="006B2830"/>
    <w:rsid w:val="006D7FB1"/>
    <w:rsid w:val="007029FC"/>
    <w:rsid w:val="00725917"/>
    <w:rsid w:val="007913A4"/>
    <w:rsid w:val="007B70C2"/>
    <w:rsid w:val="007C0D66"/>
    <w:rsid w:val="007C25BE"/>
    <w:rsid w:val="007D05B1"/>
    <w:rsid w:val="007D27F1"/>
    <w:rsid w:val="007E7E04"/>
    <w:rsid w:val="007F2825"/>
    <w:rsid w:val="00837B6E"/>
    <w:rsid w:val="0084715B"/>
    <w:rsid w:val="00891831"/>
    <w:rsid w:val="008957FA"/>
    <w:rsid w:val="008C6016"/>
    <w:rsid w:val="008C6B45"/>
    <w:rsid w:val="0094504E"/>
    <w:rsid w:val="00977743"/>
    <w:rsid w:val="009951D1"/>
    <w:rsid w:val="009A02A5"/>
    <w:rsid w:val="009A4A55"/>
    <w:rsid w:val="00A11355"/>
    <w:rsid w:val="00A27467"/>
    <w:rsid w:val="00A30220"/>
    <w:rsid w:val="00A40911"/>
    <w:rsid w:val="00A4492F"/>
    <w:rsid w:val="00A7212B"/>
    <w:rsid w:val="00A827EC"/>
    <w:rsid w:val="00AB40C8"/>
    <w:rsid w:val="00B355F7"/>
    <w:rsid w:val="00B6533B"/>
    <w:rsid w:val="00B659ED"/>
    <w:rsid w:val="00B72DCD"/>
    <w:rsid w:val="00BD414E"/>
    <w:rsid w:val="00BD7995"/>
    <w:rsid w:val="00BE3B77"/>
    <w:rsid w:val="00BF61A6"/>
    <w:rsid w:val="00C02137"/>
    <w:rsid w:val="00C1135E"/>
    <w:rsid w:val="00C115B7"/>
    <w:rsid w:val="00C35068"/>
    <w:rsid w:val="00C831B2"/>
    <w:rsid w:val="00CC08BF"/>
    <w:rsid w:val="00CD4C33"/>
    <w:rsid w:val="00CF5EDC"/>
    <w:rsid w:val="00D60BC5"/>
    <w:rsid w:val="00D82725"/>
    <w:rsid w:val="00DC04E0"/>
    <w:rsid w:val="00E20A09"/>
    <w:rsid w:val="00E608E4"/>
    <w:rsid w:val="00E7714C"/>
    <w:rsid w:val="00EC2A3D"/>
    <w:rsid w:val="00F05996"/>
    <w:rsid w:val="00F148F9"/>
    <w:rsid w:val="00F20071"/>
    <w:rsid w:val="00F222E3"/>
    <w:rsid w:val="00F61D6D"/>
    <w:rsid w:val="00F773EE"/>
    <w:rsid w:val="00F8593E"/>
    <w:rsid w:val="00F9409A"/>
    <w:rsid w:val="00FA0A60"/>
    <w:rsid w:val="00FA2EB6"/>
    <w:rsid w:val="00FB3A42"/>
    <w:rsid w:val="00FD7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D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55"/>
    <w:pPr>
      <w:spacing w:after="160" w:line="259" w:lineRule="auto"/>
    </w:pPr>
    <w:rPr>
      <w:sz w:val="22"/>
      <w:szCs w:val="22"/>
    </w:rPr>
  </w:style>
  <w:style w:type="paragraph" w:styleId="Heading1">
    <w:name w:val="heading 1"/>
    <w:basedOn w:val="Normal"/>
    <w:next w:val="Normal"/>
    <w:link w:val="Heading1Char"/>
    <w:uiPriority w:val="9"/>
    <w:qFormat/>
    <w:rsid w:val="00BF61A6"/>
    <w:pPr>
      <w:keepNext/>
      <w:keepLines/>
      <w:spacing w:before="240" w:after="0" w:line="256" w:lineRule="auto"/>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semiHidden/>
    <w:unhideWhenUsed/>
    <w:qFormat/>
    <w:rsid w:val="0014373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143735"/>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11355"/>
    <w:pPr>
      <w:ind w:left="720"/>
      <w:contextualSpacing/>
    </w:pPr>
  </w:style>
  <w:style w:type="paragraph" w:styleId="NormalWeb">
    <w:name w:val="Normal (Web)"/>
    <w:basedOn w:val="Normal"/>
    <w:unhideWhenUsed/>
    <w:qFormat/>
    <w:rsid w:val="008957FA"/>
    <w:pPr>
      <w:spacing w:before="100" w:beforeAutospacing="1" w:after="100" w:afterAutospacing="1" w:line="240" w:lineRule="auto"/>
    </w:pPr>
    <w:rPr>
      <w:rFonts w:ascii="Times New Roman" w:eastAsia="Times New Roman" w:hAnsi="Times New Roman"/>
      <w:sz w:val="24"/>
      <w:szCs w:val="24"/>
    </w:rPr>
  </w:style>
  <w:style w:type="paragraph" w:styleId="CommentText">
    <w:name w:val="annotation text"/>
    <w:basedOn w:val="Normal"/>
    <w:link w:val="CommentTextChar"/>
    <w:unhideWhenUsed/>
    <w:rsid w:val="008957FA"/>
    <w:pPr>
      <w:spacing w:line="240" w:lineRule="auto"/>
    </w:pPr>
    <w:rPr>
      <w:rFonts w:eastAsia="MS Mincho" w:cs="Calibri"/>
      <w:sz w:val="20"/>
      <w:szCs w:val="20"/>
      <w:lang w:val="vi-VN" w:eastAsia="en-GB"/>
    </w:rPr>
  </w:style>
  <w:style w:type="character" w:customStyle="1" w:styleId="CommentTextChar">
    <w:name w:val="Comment Text Char"/>
    <w:link w:val="CommentText"/>
    <w:uiPriority w:val="99"/>
    <w:rsid w:val="008957FA"/>
    <w:rPr>
      <w:rFonts w:ascii="Calibri" w:eastAsia="MS Mincho" w:hAnsi="Calibri" w:cs="Calibri"/>
      <w:sz w:val="20"/>
      <w:szCs w:val="20"/>
      <w:lang w:val="vi-VN" w:eastAsia="en-GB"/>
    </w:rPr>
  </w:style>
  <w:style w:type="character" w:customStyle="1" w:styleId="Heading1Char">
    <w:name w:val="Heading 1 Char"/>
    <w:link w:val="Heading1"/>
    <w:uiPriority w:val="9"/>
    <w:rsid w:val="00BF61A6"/>
    <w:rPr>
      <w:rFonts w:ascii="Calibri Light" w:eastAsia="Times New Roman" w:hAnsi="Calibri Light" w:cs="Times New Roman"/>
      <w:color w:val="2F5496"/>
      <w:sz w:val="32"/>
      <w:szCs w:val="32"/>
    </w:rPr>
  </w:style>
  <w:style w:type="paragraph" w:customStyle="1" w:styleId="HeadingLegal">
    <w:name w:val="HeadingLegal"/>
    <w:rsid w:val="00CC08BF"/>
    <w:pPr>
      <w:spacing w:after="60" w:line="276" w:lineRule="auto"/>
    </w:pPr>
    <w:rPr>
      <w:rFonts w:ascii="Times New Roman" w:eastAsia="Times New Roman" w:hAnsi="Times New Roman"/>
      <w:b/>
      <w:sz w:val="26"/>
      <w:szCs w:val="22"/>
    </w:rPr>
  </w:style>
  <w:style w:type="paragraph" w:customStyle="1" w:styleId="ChapterLegal">
    <w:name w:val="ChapterLegal"/>
    <w:rsid w:val="00FB3A42"/>
    <w:pPr>
      <w:spacing w:after="60" w:line="276" w:lineRule="auto"/>
      <w:jc w:val="center"/>
    </w:pPr>
    <w:rPr>
      <w:rFonts w:ascii="Times New Roman" w:eastAsia="Times New Roman" w:hAnsi="Times New Roman"/>
      <w:b/>
      <w:sz w:val="26"/>
      <w:szCs w:val="22"/>
    </w:rPr>
  </w:style>
  <w:style w:type="table" w:styleId="TableGrid">
    <w:name w:val="Table Grid"/>
    <w:basedOn w:val="TableNormal"/>
    <w:uiPriority w:val="39"/>
    <w:rsid w:val="00891831"/>
    <w:rPr>
      <w:rFonts w:ascii="Aptos" w:eastAsia="Aptos" w:hAnsi="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2D7D93"/>
    <w:rPr>
      <w:sz w:val="16"/>
      <w:szCs w:val="16"/>
    </w:rPr>
  </w:style>
  <w:style w:type="character" w:customStyle="1" w:styleId="Heading2Char">
    <w:name w:val="Heading 2 Char"/>
    <w:basedOn w:val="DefaultParagraphFont"/>
    <w:link w:val="Heading2"/>
    <w:uiPriority w:val="9"/>
    <w:semiHidden/>
    <w:rsid w:val="0014373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143735"/>
    <w:rPr>
      <w:rFonts w:asciiTheme="majorHAnsi" w:eastAsiaTheme="majorEastAsia" w:hAnsiTheme="majorHAnsi" w:cstheme="majorBidi"/>
      <w:color w:val="0A2F4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355"/>
    <w:pPr>
      <w:spacing w:after="160" w:line="259" w:lineRule="auto"/>
    </w:pPr>
    <w:rPr>
      <w:sz w:val="22"/>
      <w:szCs w:val="22"/>
    </w:rPr>
  </w:style>
  <w:style w:type="paragraph" w:styleId="Heading1">
    <w:name w:val="heading 1"/>
    <w:basedOn w:val="Normal"/>
    <w:next w:val="Normal"/>
    <w:link w:val="Heading1Char"/>
    <w:uiPriority w:val="9"/>
    <w:qFormat/>
    <w:rsid w:val="00BF61A6"/>
    <w:pPr>
      <w:keepNext/>
      <w:keepLines/>
      <w:spacing w:before="240" w:after="0" w:line="256" w:lineRule="auto"/>
      <w:outlineLvl w:val="0"/>
    </w:pPr>
    <w:rPr>
      <w:rFonts w:ascii="Calibri Light" w:eastAsia="Times New Roman" w:hAnsi="Calibri Light"/>
      <w:color w:val="2F5496"/>
      <w:sz w:val="32"/>
      <w:szCs w:val="32"/>
    </w:rPr>
  </w:style>
  <w:style w:type="paragraph" w:styleId="Heading2">
    <w:name w:val="heading 2"/>
    <w:basedOn w:val="Normal"/>
    <w:next w:val="Normal"/>
    <w:link w:val="Heading2Char"/>
    <w:uiPriority w:val="9"/>
    <w:semiHidden/>
    <w:unhideWhenUsed/>
    <w:qFormat/>
    <w:rsid w:val="00143735"/>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143735"/>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11355"/>
    <w:pPr>
      <w:ind w:left="720"/>
      <w:contextualSpacing/>
    </w:pPr>
  </w:style>
  <w:style w:type="paragraph" w:styleId="NormalWeb">
    <w:name w:val="Normal (Web)"/>
    <w:basedOn w:val="Normal"/>
    <w:unhideWhenUsed/>
    <w:qFormat/>
    <w:rsid w:val="008957FA"/>
    <w:pPr>
      <w:spacing w:before="100" w:beforeAutospacing="1" w:after="100" w:afterAutospacing="1" w:line="240" w:lineRule="auto"/>
    </w:pPr>
    <w:rPr>
      <w:rFonts w:ascii="Times New Roman" w:eastAsia="Times New Roman" w:hAnsi="Times New Roman"/>
      <w:sz w:val="24"/>
      <w:szCs w:val="24"/>
    </w:rPr>
  </w:style>
  <w:style w:type="paragraph" w:styleId="CommentText">
    <w:name w:val="annotation text"/>
    <w:basedOn w:val="Normal"/>
    <w:link w:val="CommentTextChar"/>
    <w:unhideWhenUsed/>
    <w:rsid w:val="008957FA"/>
    <w:pPr>
      <w:spacing w:line="240" w:lineRule="auto"/>
    </w:pPr>
    <w:rPr>
      <w:rFonts w:eastAsia="MS Mincho" w:cs="Calibri"/>
      <w:sz w:val="20"/>
      <w:szCs w:val="20"/>
      <w:lang w:val="vi-VN" w:eastAsia="en-GB"/>
    </w:rPr>
  </w:style>
  <w:style w:type="character" w:customStyle="1" w:styleId="CommentTextChar">
    <w:name w:val="Comment Text Char"/>
    <w:link w:val="CommentText"/>
    <w:uiPriority w:val="99"/>
    <w:rsid w:val="008957FA"/>
    <w:rPr>
      <w:rFonts w:ascii="Calibri" w:eastAsia="MS Mincho" w:hAnsi="Calibri" w:cs="Calibri"/>
      <w:sz w:val="20"/>
      <w:szCs w:val="20"/>
      <w:lang w:val="vi-VN" w:eastAsia="en-GB"/>
    </w:rPr>
  </w:style>
  <w:style w:type="character" w:customStyle="1" w:styleId="Heading1Char">
    <w:name w:val="Heading 1 Char"/>
    <w:link w:val="Heading1"/>
    <w:uiPriority w:val="9"/>
    <w:rsid w:val="00BF61A6"/>
    <w:rPr>
      <w:rFonts w:ascii="Calibri Light" w:eastAsia="Times New Roman" w:hAnsi="Calibri Light" w:cs="Times New Roman"/>
      <w:color w:val="2F5496"/>
      <w:sz w:val="32"/>
      <w:szCs w:val="32"/>
    </w:rPr>
  </w:style>
  <w:style w:type="paragraph" w:customStyle="1" w:styleId="HeadingLegal">
    <w:name w:val="HeadingLegal"/>
    <w:rsid w:val="00CC08BF"/>
    <w:pPr>
      <w:spacing w:after="60" w:line="276" w:lineRule="auto"/>
    </w:pPr>
    <w:rPr>
      <w:rFonts w:ascii="Times New Roman" w:eastAsia="Times New Roman" w:hAnsi="Times New Roman"/>
      <w:b/>
      <w:sz w:val="26"/>
      <w:szCs w:val="22"/>
    </w:rPr>
  </w:style>
  <w:style w:type="paragraph" w:customStyle="1" w:styleId="ChapterLegal">
    <w:name w:val="ChapterLegal"/>
    <w:rsid w:val="00FB3A42"/>
    <w:pPr>
      <w:spacing w:after="60" w:line="276" w:lineRule="auto"/>
      <w:jc w:val="center"/>
    </w:pPr>
    <w:rPr>
      <w:rFonts w:ascii="Times New Roman" w:eastAsia="Times New Roman" w:hAnsi="Times New Roman"/>
      <w:b/>
      <w:sz w:val="26"/>
      <w:szCs w:val="22"/>
    </w:rPr>
  </w:style>
  <w:style w:type="table" w:styleId="TableGrid">
    <w:name w:val="Table Grid"/>
    <w:basedOn w:val="TableNormal"/>
    <w:uiPriority w:val="39"/>
    <w:rsid w:val="00891831"/>
    <w:rPr>
      <w:rFonts w:ascii="Aptos" w:eastAsia="Aptos" w:hAnsi="Aptos"/>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2D7D93"/>
    <w:rPr>
      <w:sz w:val="16"/>
      <w:szCs w:val="16"/>
    </w:rPr>
  </w:style>
  <w:style w:type="character" w:customStyle="1" w:styleId="Heading2Char">
    <w:name w:val="Heading 2 Char"/>
    <w:basedOn w:val="DefaultParagraphFont"/>
    <w:link w:val="Heading2"/>
    <w:uiPriority w:val="9"/>
    <w:semiHidden/>
    <w:rsid w:val="0014373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143735"/>
    <w:rPr>
      <w:rFonts w:asciiTheme="majorHAnsi" w:eastAsiaTheme="majorEastAsia" w:hAnsiTheme="majorHAnsi" w:cstheme="majorBidi"/>
      <w:color w:val="0A2F4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746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25</Pages>
  <Words>6087</Words>
  <Characters>34702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Dự thảo Nghị quyết chuyển nhượng chỉ tiêu quy hoạch TOD - QH-An cập nhật</vt:lpstr>
    </vt:vector>
  </TitlesOfParts>
  <Company/>
  <LinksUpToDate>false</LinksUpToDate>
  <CharactersWithSpaces>40708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thảo Nghị quyết chuyển nhượng chỉ tiêu quy hoạch TOD - QH-An cập nhật</dc:title>
  <dc:subject>Sức chứa TOD, hạn ngạch, quy đổi nhà ở, giao thông, TIA, Sổ chỉ tiêu và GIS</dc:subject>
  <dc:creator>PC</dc:creator>
  <cp:keywords/>
  <cp:lastModifiedBy>Duong Thi Kieu Trang</cp:lastModifiedBy>
  <cp:revision>27</cp:revision>
  <cp:lastPrinted>2026-08-04T08:09:00Z</cp:lastPrinted>
  <dcterms:created xsi:type="dcterms:W3CDTF">2026-08-14T09:19:00Z</dcterms:created>
  <dcterms:modified xsi:type="dcterms:W3CDTF">2026-08-24T07:43:00Z</dcterms:modified>
</cp:coreProperties>
</file>